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February 23, 2015</w:t>
      </w: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Orchid Island Capital,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553" w:right="259" w:bottom="1440" w:gutter="0" w:footer="0" w:header="0"/>
        </w:sectPr>
      </w:pPr>
    </w:p>
    <w:p>
      <w:pPr>
        <w:spacing w:after="0" w:line="234"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001-35236</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27-3269228</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40" w:space="720"/>
            <w:col w:w="3120"/>
          </w:cols>
          <w:pgMar w:left="240" w:top="553" w:right="259" w:bottom="1440" w:gutter="0" w:footer="0" w:header="0"/>
          <w:type w:val="continuous"/>
        </w:sectPr>
      </w:pPr>
    </w:p>
    <w:p>
      <w:pPr>
        <w:spacing w:after="0" w:line="45"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3305 Flamingo Drive, Vero Beach, Florida 32963</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(Address of Principal Executive Offices)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(772) 231-1400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880" w:hanging="872"/>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23, 2015, Orchid Island Capital, Inc. (the “Company”) issued the press release attached hereto as Exhibit 99.1 announcing the Company’s results of operations for the period ended December 31, 2014. The information furnished under this “Item 2.02 Results of Operations and Financial Condition,” including the exhibit related hereto, shall not be deemed “filed” for purposes of Section 18 of the Securities Exchange Act of 1934, nor shall it be deemed incorporated by reference in any disclosure document of the Company, except as shall be expressly set forth by specific reference in such document.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9840" w:type="dxa"/>
            <w:vAlign w:val="bottom"/>
            <w:tcBorders>
              <w:bottom w:val="single" w:sz="8" w:color="auto"/>
            </w:tcBorders>
          </w:tcPr>
          <w:p>
            <w:pPr>
              <w:ind w:left="44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Press Release dated February 23, 2015</w:t>
            </w:r>
          </w:p>
        </w:tc>
      </w:tr>
      <w:tr>
        <w:trPr>
          <w:trHeight w:val="659"/>
        </w:trPr>
        <w:tc>
          <w:tcPr>
            <w:tcW w:w="1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6440" w:val="left"/>
        </w:tabs>
        <w:rPr>
          <w:sz w:val="20"/>
          <w:szCs w:val="20"/>
          <w:color w:val="auto"/>
        </w:rPr>
      </w:pPr>
      <w:r>
        <w:rPr>
          <w:rFonts w:ascii="Arial" w:cs="Arial" w:eastAsia="Arial" w:hAnsi="Arial"/>
          <w:sz w:val="18"/>
          <w:szCs w:val="18"/>
          <w:color w:val="auto"/>
        </w:rPr>
        <w:t>Date: February 23, 2015</w:t>
      </w:r>
      <w:r>
        <w:rPr>
          <w:sz w:val="20"/>
          <w:szCs w:val="20"/>
          <w:color w:val="auto"/>
        </w:rPr>
        <w:tab/>
      </w:r>
      <w:r>
        <w:rPr>
          <w:rFonts w:ascii="Arial" w:cs="Arial" w:eastAsia="Arial" w:hAnsi="Arial"/>
          <w:sz w:val="17"/>
          <w:szCs w:val="17"/>
          <w:color w:val="auto"/>
        </w:rPr>
        <w:t>ORCHID ISLAND CAPITAL, INC.</w:t>
      </w:r>
    </w:p>
    <w:p>
      <w:pPr>
        <w:spacing w:after="0" w:line="200" w:lineRule="exact"/>
        <w:rPr>
          <w:sz w:val="20"/>
          <w:szCs w:val="20"/>
          <w:color w:val="auto"/>
        </w:rPr>
      </w:pPr>
    </w:p>
    <w:p>
      <w:pPr>
        <w:spacing w:after="0" w:line="241" w:lineRule="exact"/>
        <w:rPr>
          <w:sz w:val="20"/>
          <w:szCs w:val="20"/>
          <w:color w:val="auto"/>
        </w:rPr>
      </w:pPr>
    </w:p>
    <w:p>
      <w:pPr>
        <w:ind w:left="6100"/>
        <w:spacing w:after="0"/>
        <w:tabs>
          <w:tab w:leader="none" w:pos="6560" w:val="left"/>
        </w:tabs>
        <w:rPr>
          <w:sz w:val="20"/>
          <w:szCs w:val="20"/>
          <w:color w:val="auto"/>
        </w:rPr>
      </w:pPr>
      <w:r>
        <w:rPr>
          <w:rFonts w:ascii="Arial" w:cs="Arial" w:eastAsia="Arial" w:hAnsi="Arial"/>
          <w:sz w:val="18"/>
          <w:szCs w:val="18"/>
          <w:color w:val="auto"/>
        </w:rPr>
        <w:t>By:</w:t>
        <w:tab/>
        <w:t>/s/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14605</wp:posOffset>
            </wp:positionV>
            <wp:extent cx="29927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92755" cy="1714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Robert E. Cauley</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40" w:type="dxa"/>
            <w:vAlign w:val="bottom"/>
          </w:tcPr>
          <w:p>
            <w:pPr>
              <w:ind w:left="3280"/>
              <w:spacing w:after="0"/>
              <w:rPr>
                <w:sz w:val="20"/>
                <w:szCs w:val="20"/>
                <w:color w:val="auto"/>
              </w:rPr>
            </w:pPr>
            <w:r>
              <w:rPr>
                <w:rFonts w:ascii="Arial" w:cs="Arial" w:eastAsia="Arial" w:hAnsi="Arial"/>
                <w:sz w:val="18"/>
                <w:szCs w:val="18"/>
                <w:color w:val="auto"/>
              </w:rPr>
              <w:t>INDEX TO EXHIBITS</w:t>
            </w:r>
          </w:p>
        </w:tc>
      </w:tr>
      <w:tr>
        <w:trPr>
          <w:trHeight w:val="709"/>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840" w:type="dxa"/>
            <w:vAlign w:val="bottom"/>
            <w:tcBorders>
              <w:bottom w:val="single" w:sz="8" w:color="auto"/>
            </w:tcBorders>
          </w:tcPr>
          <w:p>
            <w:pPr>
              <w:ind w:left="44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Press Release dated February 23, 2015</w:t>
            </w:r>
          </w:p>
        </w:tc>
      </w:tr>
    </w:tbl>
    <w:p>
      <w:pPr>
        <w:sectPr>
          <w:pgSz w:w="11900" w:h="16838" w:orient="portrait"/>
          <w:cols w:equalWidth="0" w:num="1">
            <w:col w:w="11420"/>
          </w:cols>
          <w:pgMar w:left="240" w:top="517" w:right="239" w:bottom="1440" w:gutter="0" w:footer="0" w:header="0"/>
        </w:sectPr>
      </w:pPr>
    </w:p>
    <w:bookmarkStart w:id="4" w:name="page5"/>
    <w:bookmarkEnd w:id="4"/>
    <w:p>
      <w:pPr>
        <w:ind w:left="1006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5831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8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ORCHID ISLAND CAPITAL ANNOUNCES FOURTH QUARTER 2014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VERO BEACH, Fla. (February 23, 2015) – Orchid Island Capital, Inc. (NYSE:ORC) ("Orchid” or the "Company"), a real estate investment trust ("REIT"), today announced results of operations for the three month period ended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2014 Highlights</w:t>
      </w:r>
    </w:p>
    <w:p>
      <w:pPr>
        <w:spacing w:after="0" w:line="256"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of $3.5 million, or $0.24 per common share</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Fourth quarter total dividends declared and paid of $0.54 per common share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Book Value Per Share of $13.06 at December 31, 2014</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2.5% economic gain on common equity for the quarter, or 10.0% annualized, comprised of $0.54 dividend per common share and $0.21 decrease in net book value per common share, divided by beginning book value per share</w:t>
      </w: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Company to discuss results on Tuesday, February 24, 2015, at 10:00 AM 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Fourth Quarter 2014 Results of Operations</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reported net income of $3.5 million for the three month period ended December 31, 2014, compared with net income of $1.4 million for the three month period ended December 31, 2013. The fourth quarter net income of $3.5 million included net interest income of $11.0 million, net portfolio losses of $6.1 million (which includes mark to market gains, realized gains on securities sold and losses on funding hedges), accrued incentive compensation of $0.1 million, audit, legal and other professional fees of $0.2 million, management fees of $0.7 million, and other operating, general and administrative expenses of $0.5 million. During the fourth quarter of 2014, the Company sold residential mortgage-backed securities (“RMBS”) with a market value at the time of sale of $208.6 million, resulting in realized gains of $0.9 million (based on security prices from September 30, 2014). The remaining net gain on RMBS was due to fair value adjustments for the period.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Allocation and Return on Invested Capital</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allocates capital to two RMBS sub-portfolios, the pass-through RMBS portfolio (“PT RMBS”), and the structured RMBS portfolio, consisting of interest only (“IO”) and inverse interest-only (“IIO”) securities. As of September 30, 2014, approximately 61% of the Company’s investable capital (which consists of equity in pledged PT RMBS, available cash and unencumbered assets) was deployed in the PT RMBS portfolio. At December 31, 2014, the allocation to the PT RMBS had increased 10% to approximately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table below details the changes to the respective sub-portfolios during the quarter, as well as the returns generated by each.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Portfolio Activity for the Quarter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40" w:type="dxa"/>
            <w:vAlign w:val="bottom"/>
            <w:tcBorders>
              <w:top w:val="single" w:sz="8" w:color="auto"/>
            </w:tcBorders>
            <w:gridSpan w:val="10"/>
          </w:tcPr>
          <w:p>
            <w:pPr>
              <w:jc w:val="center"/>
              <w:ind w:right="320"/>
              <w:spacing w:after="0"/>
              <w:rPr>
                <w:sz w:val="20"/>
                <w:szCs w:val="20"/>
                <w:color w:val="auto"/>
              </w:rPr>
            </w:pPr>
            <w:r>
              <w:rPr>
                <w:rFonts w:ascii="Arial" w:cs="Arial" w:eastAsia="Arial" w:hAnsi="Arial"/>
                <w:sz w:val="18"/>
                <w:szCs w:val="18"/>
                <w:b w:val="1"/>
                <w:bCs w:val="1"/>
                <w:color w:val="auto"/>
                <w:w w:val="91"/>
              </w:rPr>
              <w:t>Structured Security Portfolio</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4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Pass-Through</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Interest Only</w:t>
            </w:r>
          </w:p>
        </w:tc>
        <w:tc>
          <w:tcPr>
            <w:tcW w:w="1360" w:type="dxa"/>
            <w:vAlign w:val="bottom"/>
            <w:tcBorders>
              <w:top w:val="single" w:sz="8" w:color="auto"/>
            </w:tcBorders>
            <w:gridSpan w:val="4"/>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Inverse Interest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Portfolio</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Securities</w:t>
            </w:r>
          </w:p>
        </w:tc>
        <w:tc>
          <w:tcPr>
            <w:tcW w:w="100" w:type="dxa"/>
            <w:vAlign w:val="bottom"/>
          </w:tcPr>
          <w:p>
            <w:pPr>
              <w:spacing w:after="0"/>
              <w:rPr>
                <w:sz w:val="20"/>
                <w:szCs w:val="20"/>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Only Securities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Sub-total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Value - September 30, 2014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1,111,145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45,947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64,387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1,175,532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Securities Purchased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597,732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(208,586)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Gain on Sale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Return of Investment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Pay-downs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(19,635)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Premium Lost Due to Pay-downs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Mark to Market Gains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Value - December 31, 2014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1,486,787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46,611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62,384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1,549,171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tables below present the allocation of capital between the respective portfolios at December 31, 2014 and September 30, 2014, and the return on invested capital for each sub-portfolio for the three month period ended December 31, 2014. The return on invested capital in the PT RMBS and structured RMBS portfolios was approximately 8.2% and (5.0)%, respectively, for the fourth quarter of 2014. The combined portfolio generated a return on invested capital of approximately 3.0%. Due to the deployment of the proceeds of our capital raising activities during the three months ended December 31, 2014, the balances of the respective portfolios increased significantly. Accordingly, returns generated based on the beginning of period capital are larger than returns on a stabilized portfolio. We have added the return on average capital deployed to address this issue.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43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Capital Allocation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gridSpan w:val="10"/>
          </w:tcPr>
          <w:p>
            <w:pPr>
              <w:jc w:val="center"/>
              <w:ind w:right="340"/>
              <w:spacing w:after="0"/>
              <w:rPr>
                <w:sz w:val="20"/>
                <w:szCs w:val="20"/>
                <w:color w:val="auto"/>
              </w:rPr>
            </w:pPr>
            <w:r>
              <w:rPr>
                <w:rFonts w:ascii="Arial" w:cs="Arial" w:eastAsia="Arial" w:hAnsi="Arial"/>
                <w:sz w:val="18"/>
                <w:szCs w:val="18"/>
                <w:b w:val="1"/>
                <w:bCs w:val="1"/>
                <w:color w:val="auto"/>
                <w:w w:val="91"/>
              </w:rPr>
              <w:t>Structured Security Portfolio</w:t>
            </w: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Inverse</w:t>
            </w: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9"/>
              </w:rPr>
              <w:t>Pass-Through</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6"/>
              </w:rPr>
              <w:t>Interest Only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Only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Portfolio</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Securities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Securities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Sub-total</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Market Value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1,486,787</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46,611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15,773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62,384</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1,549,171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100,927</w:t>
            </w:r>
          </w:p>
        </w:tc>
      </w:tr>
      <w:tr>
        <w:trPr>
          <w:trHeight w:val="216"/>
        </w:trPr>
        <w:tc>
          <w:tcPr>
            <w:tcW w:w="20" w:type="dxa"/>
            <w:vAlign w:val="bottom"/>
          </w:tcPr>
          <w:p>
            <w:pPr>
              <w:spacing w:after="0"/>
              <w:rPr>
                <w:sz w:val="18"/>
                <w:szCs w:val="18"/>
                <w:color w:val="auto"/>
              </w:rPr>
            </w:pPr>
          </w:p>
        </w:tc>
        <w:tc>
          <w:tcPr>
            <w:tcW w:w="4400" w:type="dxa"/>
            <w:vAlign w:val="bottom"/>
          </w:tcPr>
          <w:p>
            <w:pPr>
              <w:spacing w:after="0" w:line="216" w:lineRule="exact"/>
              <w:rPr>
                <w:sz w:val="20"/>
                <w:szCs w:val="20"/>
                <w:color w:val="auto"/>
              </w:rPr>
            </w:pPr>
            <w:r>
              <w:rPr>
                <w:rFonts w:ascii="Arial" w:cs="Arial" w:eastAsia="Arial" w:hAnsi="Arial"/>
                <w:sz w:val="18"/>
                <w:szCs w:val="18"/>
                <w:color w:val="auto"/>
              </w:rPr>
              <w:t>Repurchase Agreement Obligations</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(1,436,651)</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(1,436,651)</w:t>
            </w:r>
          </w:p>
        </w:tc>
      </w:tr>
      <w:tr>
        <w:trPr>
          <w:trHeight w:val="27"/>
        </w:trPr>
        <w:tc>
          <w:tcPr>
            <w:tcW w:w="2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62,384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213,447</w:t>
            </w:r>
          </w:p>
        </w:tc>
      </w:tr>
      <w:tr>
        <w:trPr>
          <w:trHeight w:val="223"/>
        </w:trPr>
        <w:tc>
          <w:tcPr>
            <w:tcW w:w="20" w:type="dxa"/>
            <w:vAlign w:val="bottom"/>
          </w:tcPr>
          <w:p>
            <w:pPr>
              <w:spacing w:after="0"/>
              <w:rPr>
                <w:sz w:val="19"/>
                <w:szCs w:val="19"/>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2014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Market Value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1,111,145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45,947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18,440</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64,387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1,175,532</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Cash</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245,405</w:t>
            </w:r>
          </w:p>
        </w:tc>
      </w:tr>
      <w:tr>
        <w:trPr>
          <w:trHeight w:val="216"/>
        </w:trPr>
        <w:tc>
          <w:tcPr>
            <w:tcW w:w="20" w:type="dxa"/>
            <w:vAlign w:val="bottom"/>
          </w:tcPr>
          <w:p>
            <w:pPr>
              <w:spacing w:after="0"/>
              <w:rPr>
                <w:sz w:val="18"/>
                <w:szCs w:val="18"/>
                <w:color w:val="auto"/>
              </w:rPr>
            </w:pPr>
          </w:p>
        </w:tc>
        <w:tc>
          <w:tcPr>
            <w:tcW w:w="4400" w:type="dxa"/>
            <w:vAlign w:val="bottom"/>
          </w:tcPr>
          <w:p>
            <w:pPr>
              <w:spacing w:after="0" w:line="216" w:lineRule="exact"/>
              <w:rPr>
                <w:sz w:val="20"/>
                <w:szCs w:val="20"/>
                <w:color w:val="auto"/>
              </w:rPr>
            </w:pPr>
            <w:r>
              <w:rPr>
                <w:rFonts w:ascii="Arial" w:cs="Arial" w:eastAsia="Arial" w:hAnsi="Arial"/>
                <w:sz w:val="18"/>
                <w:szCs w:val="18"/>
                <w:color w:val="auto"/>
              </w:rPr>
              <w:t>Repurchase Agreement Obligations</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(1,255,978)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(1,255,978)</w:t>
            </w:r>
          </w:p>
        </w:tc>
      </w:tr>
      <w:tr>
        <w:trPr>
          <w:trHeight w:val="27"/>
        </w:trPr>
        <w:tc>
          <w:tcPr>
            <w:tcW w:w="2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45,947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164,959</w:t>
            </w: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7"/>
        </w:trPr>
        <w:tc>
          <w:tcPr>
            <w:tcW w:w="20" w:type="dxa"/>
            <w:vAlign w:val="bottom"/>
          </w:tcPr>
          <w:p>
            <w:pPr>
              <w:spacing w:after="0"/>
              <w:rPr>
                <w:sz w:val="2"/>
                <w:szCs w:val="2"/>
                <w:color w:val="auto"/>
              </w:rPr>
            </w:pPr>
          </w:p>
        </w:tc>
        <w:tc>
          <w:tcPr>
            <w:tcW w:w="4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9" w:lineRule="exact"/>
        <w:rPr>
          <w:sz w:val="20"/>
          <w:szCs w:val="20"/>
          <w:color w:val="auto"/>
        </w:rPr>
      </w:pPr>
    </w:p>
    <w:p>
      <w:pPr>
        <w:jc w:val="both"/>
        <w:ind w:left="340" w:hanging="308"/>
        <w:spacing w:after="0" w:line="25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December 31, 2014, there were outstanding repurchase agreement balances of $17.9 million and $4.6 million secured by interest-only and inverse interest-only securities, respectively. We entered into these arrangements to generate additional cash to invest in pass-through RMBS; therefore, we have not considered these balances to be allocated to the structured securities strategy.</w:t>
      </w:r>
    </w:p>
    <w:p>
      <w:pPr>
        <w:ind w:left="340" w:hanging="307"/>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September 30, 2014, total cash has been reduced by unsettled security purchases of approximately $66.8 million and increased by unsettled security sales of approximately $249.4 million.</w:t>
      </w:r>
    </w:p>
    <w:p>
      <w:pPr>
        <w:jc w:val="both"/>
        <w:ind w:left="340" w:hanging="308"/>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September 30, 2014, there were outstanding repurchase agreement balances of $18.7 million and $4.6 million secured by interest-only and inverse interest-only securities, respectively. We entered into these arrangements to generate additional cash to invest in pass-through RMBS; therefore, we have not considered these balances to be allocated to the structured securities strategy.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43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Returns for the Quarter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gridSpan w:val="10"/>
          </w:tcPr>
          <w:p>
            <w:pPr>
              <w:jc w:val="center"/>
              <w:ind w:right="420"/>
              <w:spacing w:after="0"/>
              <w:rPr>
                <w:sz w:val="20"/>
                <w:szCs w:val="20"/>
                <w:color w:val="auto"/>
              </w:rPr>
            </w:pPr>
            <w:r>
              <w:rPr>
                <w:rFonts w:ascii="Arial" w:cs="Arial" w:eastAsia="Arial" w:hAnsi="Arial"/>
                <w:sz w:val="18"/>
                <w:szCs w:val="18"/>
                <w:b w:val="1"/>
                <w:bCs w:val="1"/>
                <w:color w:val="auto"/>
                <w:w w:val="91"/>
              </w:rPr>
              <w:t>Structured Security Portfolio</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380" w:type="dxa"/>
            <w:vAlign w:val="bottom"/>
            <w:gridSpan w:val="4"/>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Pass-Through</w:t>
            </w:r>
          </w:p>
        </w:tc>
        <w:tc>
          <w:tcPr>
            <w:tcW w:w="1460" w:type="dxa"/>
            <w:vAlign w:val="bottom"/>
            <w:tcBorders>
              <w:top w:val="single" w:sz="8" w:color="auto"/>
            </w:tcBorders>
            <w:gridSpan w:val="4"/>
          </w:tcPr>
          <w:p>
            <w:pPr>
              <w:ind w:left="120"/>
              <w:spacing w:after="0" w:line="198" w:lineRule="exact"/>
              <w:rPr>
                <w:sz w:val="20"/>
                <w:szCs w:val="20"/>
                <w:color w:val="auto"/>
              </w:rPr>
            </w:pPr>
            <w:r>
              <w:rPr>
                <w:rFonts w:ascii="Arial" w:cs="Arial" w:eastAsia="Arial" w:hAnsi="Arial"/>
                <w:sz w:val="18"/>
                <w:szCs w:val="18"/>
                <w:b w:val="1"/>
                <w:bCs w:val="1"/>
                <w:color w:val="auto"/>
              </w:rPr>
              <w:t>Interest Only</w:t>
            </w:r>
          </w:p>
        </w:tc>
        <w:tc>
          <w:tcPr>
            <w:tcW w:w="1440" w:type="dxa"/>
            <w:vAlign w:val="bottom"/>
            <w:tcBorders>
              <w:top w:val="single" w:sz="8" w:color="auto"/>
            </w:tcBorders>
            <w:gridSpan w:val="4"/>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Inverse Interest</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Securities</w:t>
            </w:r>
          </w:p>
        </w:tc>
        <w:tc>
          <w:tcPr>
            <w:tcW w:w="220" w:type="dxa"/>
            <w:vAlign w:val="bottom"/>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Only Securities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2"/>
              </w:rPr>
              <w:t>Sub-total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(net of repo cost)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Realized and unrealized gains / (losses)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Hedge losses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0"/>
              <w:spacing w:after="0"/>
              <w:rPr>
                <w:sz w:val="20"/>
                <w:szCs w:val="20"/>
                <w:color w:val="auto"/>
              </w:rPr>
            </w:pPr>
            <w:r>
              <w:rPr>
                <w:rFonts w:ascii="Arial" w:cs="Arial" w:eastAsia="Arial" w:hAnsi="Arial"/>
                <w:sz w:val="18"/>
                <w:szCs w:val="18"/>
                <w:color w:val="auto"/>
              </w:rPr>
              <w:t>Total Return</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8,205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(2,239)</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(3,239)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Capital Allocation</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100,573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45,947</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64,387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line="216" w:lineRule="exact"/>
              <w:rPr>
                <w:sz w:val="20"/>
                <w:szCs w:val="20"/>
                <w:color w:val="auto"/>
              </w:rPr>
            </w:pPr>
            <w:r>
              <w:rPr>
                <w:rFonts w:ascii="Arial" w:cs="Arial" w:eastAsia="Arial" w:hAnsi="Arial"/>
                <w:sz w:val="18"/>
                <w:szCs w:val="18"/>
                <w:color w:val="auto"/>
              </w:rPr>
              <w:t>Return on Invested Capital for the Quarter</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Average Capital Allocation</w:t>
            </w:r>
            <w:r>
              <w:rPr>
                <w:rFonts w:ascii="Arial" w:cs="Arial" w:eastAsia="Arial" w:hAnsi="Arial"/>
                <w:sz w:val="24"/>
                <w:szCs w:val="24"/>
                <w:color w:val="auto"/>
                <w:vertAlign w:val="superscript"/>
              </w:rPr>
              <w:t>(2)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125,818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46,279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63,385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189,203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line="216" w:lineRule="exact"/>
              <w:rPr>
                <w:sz w:val="20"/>
                <w:szCs w:val="20"/>
                <w:color w:val="auto"/>
              </w:rPr>
            </w:pPr>
            <w:r>
              <w:rPr>
                <w:rFonts w:ascii="Arial" w:cs="Arial" w:eastAsia="Arial" w:hAnsi="Arial"/>
                <w:sz w:val="18"/>
                <w:szCs w:val="18"/>
                <w:color w:val="auto"/>
              </w:rPr>
              <w:t>Return on Average Invested Capital for the Quarter</w:t>
            </w:r>
            <w:r>
              <w:rPr>
                <w:rFonts w:ascii="Arial" w:cs="Arial" w:eastAsia="Arial" w:hAnsi="Arial"/>
                <w:sz w:val="25"/>
                <w:szCs w:val="25"/>
                <w:color w:val="auto"/>
                <w:vertAlign w:val="superscript"/>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Calculated by dividing the Total Return by the Beginning Capital Allocation, expressed as a percentage.</w:t>
      </w:r>
    </w:p>
    <w:p>
      <w:pPr>
        <w:sectPr>
          <w:pgSz w:w="11900" w:h="16838" w:orient="portrait"/>
          <w:cols w:equalWidth="0" w:num="1">
            <w:col w:w="11420"/>
          </w:cols>
          <w:pgMar w:left="240" w:top="1003" w:right="239" w:bottom="0" w:gutter="0" w:footer="0" w:header="0"/>
        </w:sectPr>
      </w:pPr>
    </w:p>
    <w:bookmarkStart w:id="6" w:name="page7"/>
    <w:bookmarkEnd w:id="6"/>
    <w:p>
      <w:pPr>
        <w:ind w:left="340" w:hanging="30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using two data points, the Beginning and Ending Capital Allocation balances.</w:t>
      </w:r>
    </w:p>
    <w:p>
      <w:pPr>
        <w:spacing w:after="0" w:line="23" w:lineRule="exact"/>
        <w:rPr>
          <w:rFonts w:ascii="Arial" w:cs="Arial" w:eastAsia="Arial" w:hAnsi="Arial"/>
          <w:sz w:val="18"/>
          <w:szCs w:val="18"/>
          <w:color w:val="auto"/>
        </w:rPr>
      </w:pPr>
    </w:p>
    <w:p>
      <w:pPr>
        <w:ind w:left="340" w:hanging="30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Calculated by dividing the Total Return by the Average Capital Allocation, expressed as a percentage.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w:t>
      </w: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For the quarter, Orchid received $25.2 million in scheduled and unscheduled principal repayments and prepayments, which equated to a constant prepayment rate (“CPR”) of approximately 7.8% for the fourth quarter of 2014. Prepayment rates on the two RMBS sub-portfolios were as follows: (in CPR).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2"/>
              </w:rPr>
              <w:t>Structured</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PT RMBS</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RMBS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Portfolio (%)</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Portfolio (%)</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Portfolio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September 30,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June 30, 2014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March 31, 2014</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September 30, 2013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June 30, 2013</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March 31, 2013</w:t>
            </w: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902"/>
        </w:trPr>
        <w:tc>
          <w:tcPr>
            <w:tcW w:w="20" w:type="dxa"/>
            <w:vAlign w:val="bottom"/>
            <w:tcBorders>
              <w:top w:val="single" w:sz="8" w:color="auto"/>
            </w:tcBorders>
          </w:tcPr>
          <w:p>
            <w:pPr>
              <w:spacing w:after="0"/>
              <w:rPr>
                <w:sz w:val="24"/>
                <w:szCs w:val="24"/>
                <w:color w:val="auto"/>
              </w:rPr>
            </w:pPr>
          </w:p>
        </w:tc>
        <w:tc>
          <w:tcPr>
            <w:tcW w:w="7300" w:type="dxa"/>
            <w:vAlign w:val="bottom"/>
            <w:tcBorders>
              <w:top w:val="single" w:sz="8" w:color="auto"/>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top w:val="single" w:sz="8" w:color="auto"/>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Portfolio</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of December 31, 2014, Orchid’s RMBS portfolio consisted of $1,549.2 million of PT RMBS and structured RMBS at fair value and had a weighted average coupon of 4.29%. The following tables summarize Orchid’s PT RMBS and structured RMBS as of December 31, 2014 and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88"/>
              </w:rPr>
              <w:t>Weighted</w:t>
            </w:r>
          </w:p>
        </w:tc>
        <w:tc>
          <w:tcPr>
            <w:tcW w:w="10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70"/>
              <w:spacing w:after="0" w:line="205" w:lineRule="exact"/>
              <w:rPr>
                <w:sz w:val="20"/>
                <w:szCs w:val="20"/>
                <w:color w:val="auto"/>
              </w:rPr>
            </w:pPr>
            <w:r>
              <w:rPr>
                <w:rFonts w:ascii="Arial" w:cs="Arial" w:eastAsia="Arial" w:hAnsi="Arial"/>
                <w:sz w:val="18"/>
                <w:szCs w:val="18"/>
                <w:b w:val="1"/>
                <w:bCs w:val="1"/>
                <w:color w:val="auto"/>
                <w:w w:val="91"/>
              </w:rPr>
              <w:t>Weighted</w:t>
            </w:r>
          </w:p>
        </w:tc>
        <w:tc>
          <w:tcPr>
            <w:tcW w:w="10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Percentage</w:t>
            </w:r>
          </w:p>
        </w:tc>
        <w:tc>
          <w:tcPr>
            <w:tcW w:w="102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10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of</w:t>
            </w: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Maturity</w:t>
            </w:r>
          </w:p>
        </w:tc>
        <w:tc>
          <w:tcPr>
            <w:tcW w:w="102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Coupon</w:t>
            </w: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Entire</w:t>
            </w: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in</w:t>
            </w: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Longest</w:t>
            </w: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Reset in</w:t>
            </w: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Lifetime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Periodic</w:t>
            </w:r>
          </w:p>
        </w:tc>
      </w:tr>
      <w:tr>
        <w:trPr>
          <w:trHeight w:val="241"/>
        </w:trPr>
        <w:tc>
          <w:tcPr>
            <w:tcW w:w="20" w:type="dxa"/>
            <w:vAlign w:val="bottom"/>
          </w:tcPr>
          <w:p>
            <w:pPr>
              <w:spacing w:after="0"/>
              <w:rPr>
                <w:sz w:val="20"/>
                <w:szCs w:val="20"/>
                <w:color w:val="auto"/>
              </w:rPr>
            </w:pPr>
          </w:p>
        </w:tc>
        <w:tc>
          <w:tcPr>
            <w:tcW w:w="2860" w:type="dxa"/>
            <w:vAlign w:val="bottom"/>
          </w:tcPr>
          <w:p>
            <w:pPr>
              <w:ind w:left="940"/>
              <w:spacing w:after="0"/>
              <w:rPr>
                <w:sz w:val="20"/>
                <w:szCs w:val="20"/>
                <w:color w:val="auto"/>
              </w:rPr>
            </w:pPr>
            <w:r>
              <w:rPr>
                <w:rFonts w:ascii="Arial" w:cs="Arial" w:eastAsia="Arial" w:hAnsi="Arial"/>
                <w:sz w:val="18"/>
                <w:szCs w:val="18"/>
                <w:b w:val="1"/>
                <w:bCs w:val="1"/>
                <w:color w:val="auto"/>
              </w:rPr>
              <w:t>Asset Category</w:t>
            </w:r>
          </w:p>
        </w:tc>
        <w:tc>
          <w:tcPr>
            <w:tcW w:w="46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Portfolio</w:t>
            </w: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Coupon</w:t>
            </w: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Months</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Maturity</w:t>
            </w: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Months</w:t>
            </w: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Cap</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w:t>
            </w:r>
          </w:p>
        </w:tc>
      </w:tr>
      <w:tr>
        <w:trPr>
          <w:trHeight w:val="223"/>
        </w:trPr>
        <w:tc>
          <w:tcPr>
            <w:tcW w:w="20" w:type="dxa"/>
            <w:vAlign w:val="bottom"/>
          </w:tcPr>
          <w:p>
            <w:pPr>
              <w:spacing w:after="0"/>
              <w:rPr>
                <w:sz w:val="19"/>
                <w:szCs w:val="19"/>
                <w:color w:val="auto"/>
              </w:rPr>
            </w:pPr>
          </w:p>
        </w:tc>
        <w:tc>
          <w:tcPr>
            <w:tcW w:w="2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Adjustable Rate RMBS</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3,794</w:t>
            </w: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20" w:type="dxa"/>
            <w:vAlign w:val="bottom"/>
          </w:tcPr>
          <w:p>
            <w:pPr>
              <w:jc w:val="right"/>
              <w:spacing w:after="0"/>
              <w:rPr>
                <w:sz w:val="20"/>
                <w:szCs w:val="20"/>
                <w:color w:val="auto"/>
              </w:rPr>
            </w:pPr>
            <w:r>
              <w:rPr>
                <w:rFonts w:ascii="Arial" w:cs="Arial" w:eastAsia="Arial" w:hAnsi="Arial"/>
                <w:sz w:val="18"/>
                <w:szCs w:val="18"/>
                <w:color w:val="auto"/>
              </w:rPr>
              <w:t>3.55%</w:t>
            </w: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20" w:type="dxa"/>
            <w:vAlign w:val="bottom"/>
          </w:tcPr>
          <w:p>
            <w:pPr>
              <w:jc w:val="right"/>
              <w:spacing w:after="0"/>
              <w:rPr>
                <w:sz w:val="20"/>
                <w:szCs w:val="20"/>
                <w:color w:val="auto"/>
              </w:rPr>
            </w:pPr>
            <w:r>
              <w:rPr>
                <w:rFonts w:ascii="Arial" w:cs="Arial" w:eastAsia="Arial" w:hAnsi="Arial"/>
                <w:sz w:val="18"/>
                <w:szCs w:val="18"/>
                <w:color w:val="auto"/>
              </w:rPr>
              <w:t>1-Sep-35</w:t>
            </w: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Fixed Rate RMBS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1-Dec-44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Hybrid Adjustable Rate RMBS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70,400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1-Aug-43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Total Mortgage-backed Pass-through</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1,486,787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1-Dec-44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Interest-Only Securities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46,611</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Pr>
          <w:p>
            <w:pPr>
              <w:jc w:val="right"/>
              <w:spacing w:after="0"/>
              <w:rPr>
                <w:sz w:val="20"/>
                <w:szCs w:val="20"/>
                <w:color w:val="auto"/>
              </w:rPr>
            </w:pPr>
            <w:r>
              <w:rPr>
                <w:rFonts w:ascii="Arial" w:cs="Arial" w:eastAsia="Arial" w:hAnsi="Arial"/>
                <w:sz w:val="18"/>
                <w:szCs w:val="18"/>
                <w:color w:val="auto"/>
              </w:rPr>
              <w:t>3.95%</w:t>
            </w: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1020" w:type="dxa"/>
            <w:vAlign w:val="bottom"/>
          </w:tcPr>
          <w:p>
            <w:pPr>
              <w:jc w:val="right"/>
              <w:spacing w:after="0"/>
              <w:rPr>
                <w:sz w:val="20"/>
                <w:szCs w:val="20"/>
                <w:color w:val="auto"/>
              </w:rPr>
            </w:pPr>
            <w:r>
              <w:rPr>
                <w:rFonts w:ascii="Arial" w:cs="Arial" w:eastAsia="Arial" w:hAnsi="Arial"/>
                <w:sz w:val="18"/>
                <w:szCs w:val="18"/>
                <w:color w:val="auto"/>
              </w:rPr>
              <w:t>25-Jan-43</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Inverse Interest-Only Securities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25-Apr-41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Structured RMBS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62,384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25-Jan-43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Mortgage Assets</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1,549,171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1-Dec-44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2013</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Adjustable Rate RMBS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1-Sep-35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Fixed Rate RMBS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245,523</w:t>
            </w:r>
          </w:p>
        </w:tc>
        <w:tc>
          <w:tcPr>
            <w:tcW w:w="1060" w:type="dxa"/>
            <w:vAlign w:val="bottom"/>
          </w:tcPr>
          <w:p>
            <w:pPr>
              <w:jc w:val="right"/>
              <w:spacing w:after="0"/>
              <w:rPr>
                <w:sz w:val="20"/>
                <w:szCs w:val="20"/>
                <w:color w:val="auto"/>
              </w:rPr>
            </w:pPr>
            <w:r>
              <w:rPr>
                <w:rFonts w:ascii="Arial" w:cs="Arial" w:eastAsia="Arial" w:hAnsi="Arial"/>
                <w:sz w:val="18"/>
                <w:szCs w:val="18"/>
                <w:color w:val="auto"/>
              </w:rPr>
              <w:t>69.9%</w:t>
            </w: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1040" w:type="dxa"/>
            <w:vAlign w:val="bottom"/>
          </w:tcPr>
          <w:p>
            <w:pPr>
              <w:jc w:val="right"/>
              <w:spacing w:after="0"/>
              <w:rPr>
                <w:sz w:val="20"/>
                <w:szCs w:val="20"/>
                <w:color w:val="auto"/>
              </w:rPr>
            </w:pPr>
            <w:r>
              <w:rPr>
                <w:rFonts w:ascii="Arial" w:cs="Arial" w:eastAsia="Arial" w:hAnsi="Arial"/>
                <w:sz w:val="18"/>
                <w:szCs w:val="18"/>
                <w:color w:val="auto"/>
              </w:rPr>
              <w:t>323</w:t>
            </w:r>
          </w:p>
        </w:tc>
        <w:tc>
          <w:tcPr>
            <w:tcW w:w="1020" w:type="dxa"/>
            <w:vAlign w:val="bottom"/>
          </w:tcPr>
          <w:p>
            <w:pPr>
              <w:jc w:val="right"/>
              <w:spacing w:after="0"/>
              <w:rPr>
                <w:sz w:val="20"/>
                <w:szCs w:val="20"/>
                <w:color w:val="auto"/>
              </w:rPr>
            </w:pPr>
            <w:r>
              <w:rPr>
                <w:rFonts w:ascii="Arial" w:cs="Arial" w:eastAsia="Arial" w:hAnsi="Arial"/>
                <w:sz w:val="18"/>
                <w:szCs w:val="18"/>
                <w:color w:val="auto"/>
              </w:rPr>
              <w:t>1-Dec-43</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Pr>
          <w:p>
            <w:pPr>
              <w:jc w:val="right"/>
              <w:spacing w:after="0"/>
              <w:rPr>
                <w:sz w:val="20"/>
                <w:szCs w:val="20"/>
                <w:color w:val="auto"/>
              </w:rPr>
            </w:pPr>
            <w:r>
              <w:rPr>
                <w:rFonts w:ascii="Arial" w:cs="Arial" w:eastAsia="Arial" w:hAnsi="Arial"/>
                <w:sz w:val="18"/>
                <w:szCs w:val="18"/>
                <w:color w:val="auto"/>
              </w:rPr>
              <w:t>NA</w:t>
            </w: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Hybrid Adjustable Rate RMBS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1-Aug-43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Total Mortgage-backed Pass-through</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326,975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1-Dec-43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Interest-Only Securities</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25-Nov-40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Inverse Interest-Only Securities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15-Dec-40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Structured RMBS</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15-Dec-40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Mortgage Assets</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1-Dec-43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5"/>
              </w:rPr>
              <w:t>31, 2014</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w:t>
            </w: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5"/>
              </w:rPr>
              <w:t>31, 2013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Percentage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Entire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Entire</w:t>
            </w:r>
          </w:p>
        </w:tc>
        <w:tc>
          <w:tcPr>
            <w:tcW w:w="0" w:type="dxa"/>
            <w:vAlign w:val="bottom"/>
          </w:tcPr>
          <w:p>
            <w:pPr>
              <w:spacing w:after="0"/>
              <w:rPr>
                <w:sz w:val="1"/>
                <w:szCs w:val="1"/>
                <w:color w:val="auto"/>
              </w:rPr>
            </w:pPr>
          </w:p>
        </w:tc>
      </w:t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Agency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Portfolio</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Portfolio</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Fannie Mae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1,243,923</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211,063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Freddie Mac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296,203</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121,842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Ginnie Mae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Total Portfolio</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1,549,171</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351,223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5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20" w:type="dxa"/>
            <w:vAlign w:val="bottom"/>
          </w:tcPr>
          <w:p>
            <w:pPr>
              <w:spacing w:after="0"/>
              <w:rPr>
                <w:sz w:val="24"/>
                <w:szCs w:val="24"/>
                <w:color w:val="auto"/>
              </w:rPr>
            </w:pPr>
          </w:p>
        </w:tc>
        <w:tc>
          <w:tcPr>
            <w:tcW w:w="5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Pass Through Purchase Price</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105.60</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 Average Structured Purchase Price</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Pass Through Current Price</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102.83</w:t>
            </w: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 Average Structured Current Price</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14.59</w:t>
            </w: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Effective Duration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left="340" w:hanging="308"/>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duration of 2.291 indicates that an interest rate increase of 1.0% would be expected to cause a 2.291% decrease in the value of the RMBS in the Company’s investment portfolio at December 31, 2014. An effective duration of 4.188 indicates that an interest rate increase of 1.0% would be expected to cause a 4.188% decrease in the value of the RMBS in the Company’s investment portfolio at December 31, 2013. These figures include the structured securities in the portfolio, but do not include the effect of the Company’s funding cost hedges. Effective duration quotes for individual investments are obtained from The Yield Book,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Leverage and Liquidity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2014, the Company had outstanding repurchase obligations of approximately $1,436.7 million with a net weighted average borrowing rate of 0.36%. These agreements were collateralized by RMBS with a fair value, including accrued interest, of approximately $1,522.9 million, and cash pledged to the counterparties of approximately $2.6 million. The Company’s leverage ratio at December 31, 2014 was 6.6 to 1. At December 31, 2014, the Company’s liquidity was approximately $125.0 million, consisting of unpledged RMBS and cash and cash equivalents. To enhance our liquidity even further, we may pledge more of our structured RMBS as part of a repurchase agreement funding, but retain the cash in lieu of acquiring additional assets. In this way we can, at a modest cost, retain higher levels of cash on hand and decrease the likelihood we will have to sell assets in a distressed market in order to raise cash. Below is a listing of outstanding borrowings under repurchase obligations at December 31, 2014.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6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Total</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 of</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Borrowing</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Counterparty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Balances</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20"/>
                <w:szCs w:val="20"/>
                <w:color w:val="auto"/>
              </w:rPr>
            </w:pPr>
          </w:p>
        </w:tc>
        <w:tc>
          <w:tcPr>
            <w:tcW w:w="1200" w:type="dxa"/>
            <w:vAlign w:val="bottom"/>
            <w:gridSpan w:val="2"/>
          </w:tcPr>
          <w:p>
            <w:pPr>
              <w:jc w:val="right"/>
              <w:ind w:right="440"/>
              <w:spacing w:after="0" w:line="234" w:lineRule="exact"/>
              <w:rPr>
                <w:sz w:val="20"/>
                <w:szCs w:val="20"/>
                <w:color w:val="auto"/>
              </w:rPr>
            </w:pPr>
            <w:r>
              <w:rPr>
                <w:rFonts w:ascii="Arial" w:cs="Arial" w:eastAsia="Arial" w:hAnsi="Arial"/>
                <w:sz w:val="18"/>
                <w:szCs w:val="18"/>
                <w:b w:val="1"/>
                <w:bCs w:val="1"/>
                <w:color w:val="auto"/>
                <w:w w:val="93"/>
              </w:rPr>
              <w:t>at Risk</w:t>
            </w:r>
            <w:r>
              <w:rPr>
                <w:rFonts w:ascii="Arial" w:cs="Arial" w:eastAsia="Arial" w:hAnsi="Arial"/>
                <w:sz w:val="25"/>
                <w:szCs w:val="25"/>
                <w:b w:val="1"/>
                <w:bCs w:val="1"/>
                <w:color w:val="auto"/>
                <w:w w:val="93"/>
                <w:vertAlign w:val="superscript"/>
              </w:rPr>
              <w:t>(1)</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Days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200,816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187,955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125,159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Mitsubishi UFJ Securities (USA), Inc.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121,926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6,260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CRT Capital Group, LLC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116,903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ICBC Financial Services LLC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113,353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KGS - Alpha Capital Markets, L.P.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109,510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Cantor Fitzgerald &amp; Co.</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77,673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ED&amp;F Man Capital Markets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75,791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60,454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Daiwa Capital Markets America, Inc.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50,602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Guggenheim Securities, LLC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49,951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South Street Securities, LLC</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37,380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20,676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1,436,651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86,561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287"/>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Equal to the fair value of securities sold plus accrued interest receivable and cash posted as collateral (if any), minus the sum of repurchase agreement liabilities and accrued interest payable, and the fair value of securities posted by the counterparty (if 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its interest rate risk management strategy, the Company economically hedges a portion of the cost of its repurchase agreement funding by entering into derivative financial instrument contracts. The Company has not elected hedging treatment under GAAP, and as such, all gains or losses on these instruments are reflected in earnings for all periods presented. As of December 31, 2014, such instruments were comprised of Eurodollar futures contracts and interest rate swaption agreements, giving the Company the option to enter into pay fixed interest rate swaps (“payer swaptions”). The table below presents information related to the Company’s Eurodollar futures contracts at December 31,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Contract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Notional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Open</w:t>
            </w:r>
          </w:p>
        </w:tc>
        <w:tc>
          <w:tcPr>
            <w:tcW w:w="0" w:type="dxa"/>
            <w:vAlign w:val="bottom"/>
          </w:tcPr>
          <w:p>
            <w:pPr>
              <w:spacing w:after="0"/>
              <w:rPr>
                <w:sz w:val="1"/>
                <w:szCs w:val="1"/>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Expiration Year</w:t>
            </w: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LIBOR Rate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40"/>
              <w:spacing w:after="0" w:line="234" w:lineRule="exact"/>
              <w:rPr>
                <w:sz w:val="20"/>
                <w:szCs w:val="20"/>
                <w:color w:val="auto"/>
              </w:rPr>
            </w:pPr>
            <w:r>
              <w:rPr>
                <w:rFonts w:ascii="Arial" w:cs="Arial" w:eastAsia="Arial" w:hAnsi="Arial"/>
                <w:sz w:val="18"/>
                <w:szCs w:val="18"/>
                <w:b w:val="1"/>
                <w:bCs w:val="1"/>
                <w:color w:val="auto"/>
                <w:w w:val="95"/>
              </w:rPr>
              <w:t>Equity</w:t>
            </w:r>
            <w:r>
              <w:rPr>
                <w:rFonts w:ascii="Arial" w:cs="Arial" w:eastAsia="Arial" w:hAnsi="Arial"/>
                <w:sz w:val="25"/>
                <w:szCs w:val="25"/>
                <w:b w:val="1"/>
                <w:bCs w:val="1"/>
                <w:color w:val="auto"/>
                <w:w w:val="95"/>
                <w:vertAlign w:val="superscript"/>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2016</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 Weighted Average</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997" w:right="239" w:bottom="9"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(1) Open equity represents the cumulative gains (losses) recorded on open futures positions.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60" w:type="dxa"/>
            <w:vAlign w:val="bottom"/>
            <w:gridSpan w:val="7"/>
          </w:tcPr>
          <w:p>
            <w:pPr>
              <w:spacing w:after="0"/>
              <w:rPr>
                <w:sz w:val="20"/>
                <w:szCs w:val="20"/>
                <w:color w:val="auto"/>
              </w:rPr>
            </w:pPr>
            <w:r>
              <w:rPr>
                <w:rFonts w:ascii="Arial" w:cs="Arial" w:eastAsia="Arial" w:hAnsi="Arial"/>
                <w:sz w:val="18"/>
                <w:szCs w:val="18"/>
                <w:color w:val="auto"/>
                <w:w w:val="91"/>
              </w:rPr>
              <w:t>The table below presents information related to the Company’s interest rate swaption positions at December 31, 2014.</w:t>
            </w:r>
          </w:p>
        </w:tc>
        <w:tc>
          <w:tcPr>
            <w:tcW w:w="12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702"/>
        </w:trPr>
        <w:tc>
          <w:tcPr>
            <w:tcW w:w="240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Option</w:t>
            </w:r>
          </w:p>
        </w:tc>
        <w:tc>
          <w:tcPr>
            <w:tcW w:w="13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Underlying Swap</w:t>
            </w:r>
          </w:p>
        </w:tc>
        <w:tc>
          <w:tcPr>
            <w:tcW w:w="1520" w:type="dxa"/>
            <w:vAlign w:val="bottom"/>
            <w:tcBorders>
              <w:bottom w:val="single" w:sz="8" w:color="auto"/>
            </w:tcBorders>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Weighted</w:t>
            </w:r>
          </w:p>
        </w:tc>
        <w:tc>
          <w:tcPr>
            <w:tcW w:w="1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spacing w:after="0"/>
              <w:rPr>
                <w:sz w:val="18"/>
                <w:szCs w:val="18"/>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Fixed</w:t>
            </w: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Receive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Fair</w:t>
            </w:r>
          </w:p>
        </w:tc>
        <w:tc>
          <w:tcPr>
            <w:tcW w:w="13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Months to</w:t>
            </w:r>
          </w:p>
        </w:tc>
        <w:tc>
          <w:tcPr>
            <w:tcW w:w="1560" w:type="dxa"/>
            <w:vAlign w:val="bottom"/>
          </w:tcPr>
          <w:p>
            <w:pPr>
              <w:ind w:left="400"/>
              <w:spacing w:after="0"/>
              <w:rPr>
                <w:sz w:val="20"/>
                <w:szCs w:val="20"/>
                <w:color w:val="auto"/>
              </w:rPr>
            </w:pPr>
            <w:r>
              <w:rPr>
                <w:rFonts w:ascii="Arial" w:cs="Arial" w:eastAsia="Arial" w:hAnsi="Arial"/>
                <w:sz w:val="18"/>
                <w:szCs w:val="18"/>
                <w:b w:val="1"/>
                <w:bCs w:val="1"/>
                <w:color w:val="auto"/>
              </w:rPr>
              <w:t>Notional</w:t>
            </w: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Pay</w:t>
            </w: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Rate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r>
      <w:tr>
        <w:trPr>
          <w:trHeight w:val="241"/>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Expiration</w:t>
            </w: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14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Value</w:t>
            </w: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Expiration</w:t>
            </w:r>
          </w:p>
        </w:tc>
        <w:tc>
          <w:tcPr>
            <w:tcW w:w="1560" w:type="dxa"/>
            <w:vAlign w:val="bottom"/>
          </w:tcPr>
          <w:p>
            <w:pPr>
              <w:ind w:left="42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Rate</w:t>
            </w: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rPr>
              <w:t>(LIBOR)</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r>
      <w:tr>
        <w:trPr>
          <w:trHeight w:val="257"/>
        </w:trPr>
        <w:tc>
          <w:tcPr>
            <w:tcW w:w="20" w:type="dxa"/>
            <w:vAlign w:val="bottom"/>
          </w:tcPr>
          <w:p>
            <w:pPr>
              <w:spacing w:after="0"/>
              <w:rPr>
                <w:sz w:val="22"/>
                <w:szCs w:val="22"/>
                <w:color w:val="auto"/>
              </w:rPr>
            </w:pPr>
          </w:p>
        </w:tc>
        <w:tc>
          <w:tcPr>
            <w:tcW w:w="2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1 year</w:t>
            </w:r>
          </w:p>
        </w:tc>
        <w:tc>
          <w:tcPr>
            <w:tcW w:w="1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$5,350</w:t>
            </w:r>
          </w:p>
        </w:tc>
        <w:tc>
          <w:tcPr>
            <w:tcW w:w="11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$1,217</w:t>
            </w:r>
          </w:p>
        </w:tc>
        <w:tc>
          <w:tcPr>
            <w:tcW w:w="138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79"/>
              </w:rPr>
              <w:t>6</w:t>
            </w:r>
          </w:p>
        </w:tc>
        <w:tc>
          <w:tcPr>
            <w:tcW w:w="15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$375,000</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124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3 Month</w:t>
            </w:r>
          </w:p>
        </w:tc>
        <w:tc>
          <w:tcPr>
            <w:tcW w:w="15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7.3</w:t>
            </w:r>
          </w:p>
        </w:tc>
      </w:tr>
      <w:tr>
        <w:trPr>
          <w:trHeight w:val="895"/>
        </w:trPr>
        <w:tc>
          <w:tcPr>
            <w:tcW w:w="20" w:type="dxa"/>
            <w:vAlign w:val="bottom"/>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qualify as a REIT, we must pay annual dividends to our stockholders of at least 90% of our REIT taxable income, determined without regard to the deduction for dividends paid and excluding any net capital gains. We intend to pay regular monthly dividends to our stockholders and have declared the following dividends since our IPO.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92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95"/>
              </w:rPr>
              <w:t>Per Share</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Declaration Date</w:t>
            </w:r>
          </w:p>
        </w:tc>
        <w:tc>
          <w:tcPr>
            <w:tcW w:w="2920" w:type="dxa"/>
            <w:vAlign w:val="bottom"/>
          </w:tcPr>
          <w:p>
            <w:pPr>
              <w:ind w:left="760"/>
              <w:spacing w:after="0"/>
              <w:rPr>
                <w:sz w:val="20"/>
                <w:szCs w:val="20"/>
                <w:color w:val="auto"/>
              </w:rPr>
            </w:pPr>
            <w:r>
              <w:rPr>
                <w:rFonts w:ascii="Arial" w:cs="Arial" w:eastAsia="Arial" w:hAnsi="Arial"/>
                <w:sz w:val="18"/>
                <w:szCs w:val="18"/>
                <w:b w:val="1"/>
                <w:bCs w:val="1"/>
                <w:color w:val="auto"/>
              </w:rPr>
              <w:t>Record Date</w:t>
            </w:r>
          </w:p>
        </w:tc>
        <w:tc>
          <w:tcPr>
            <w:tcW w:w="3560" w:type="dxa"/>
            <w:vAlign w:val="bottom"/>
          </w:tcPr>
          <w:p>
            <w:pPr>
              <w:ind w:left="700"/>
              <w:spacing w:after="0"/>
              <w:rPr>
                <w:sz w:val="20"/>
                <w:szCs w:val="20"/>
                <w:color w:val="auto"/>
              </w:rPr>
            </w:pPr>
            <w:r>
              <w:rPr>
                <w:rFonts w:ascii="Arial" w:cs="Arial" w:eastAsia="Arial" w:hAnsi="Arial"/>
                <w:sz w:val="18"/>
                <w:szCs w:val="18"/>
                <w:b w:val="1"/>
                <w:bCs w:val="1"/>
                <w:color w:val="auto"/>
              </w:rPr>
              <w:t>Payment Date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2920" w:type="dxa"/>
            <w:vAlign w:val="bottom"/>
            <w:tcBorders>
              <w:top w:val="single" w:sz="8" w:color="auto"/>
              <w:bottom w:val="single" w:sz="8" w:color="auto"/>
            </w:tcBorders>
            <w:shd w:val="clear" w:color="auto" w:fill="CCEEFF"/>
          </w:tcPr>
          <w:p>
            <w:pPr>
              <w:spacing w:after="0"/>
              <w:rPr>
                <w:sz w:val="19"/>
                <w:szCs w:val="19"/>
                <w:color w:val="auto"/>
              </w:rPr>
            </w:pPr>
          </w:p>
        </w:tc>
        <w:tc>
          <w:tcPr>
            <w:tcW w:w="35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line="216" w:lineRule="exact"/>
              <w:rPr>
                <w:sz w:val="20"/>
                <w:szCs w:val="20"/>
                <w:color w:val="auto"/>
              </w:rPr>
            </w:pPr>
            <w:r>
              <w:rPr>
                <w:rFonts w:ascii="Arial" w:cs="Arial" w:eastAsia="Arial" w:hAnsi="Arial"/>
                <w:sz w:val="18"/>
                <w:szCs w:val="18"/>
                <w:color w:val="auto"/>
              </w:rPr>
              <w:t>February 10, 2015</w:t>
            </w:r>
            <w:r>
              <w:rPr>
                <w:rFonts w:ascii="Arial" w:cs="Arial" w:eastAsia="Arial" w:hAnsi="Arial"/>
                <w:sz w:val="25"/>
                <w:szCs w:val="25"/>
                <w:color w:val="auto"/>
                <w:vertAlign w:val="superscript"/>
              </w:rPr>
              <w:t>(1)</w:t>
            </w:r>
          </w:p>
        </w:tc>
        <w:tc>
          <w:tcPr>
            <w:tcW w:w="2920" w:type="dxa"/>
            <w:vAlign w:val="bottom"/>
          </w:tcPr>
          <w:p>
            <w:pPr>
              <w:ind w:left="760"/>
              <w:spacing w:after="0"/>
              <w:rPr>
                <w:sz w:val="20"/>
                <w:szCs w:val="20"/>
                <w:color w:val="auto"/>
              </w:rPr>
            </w:pPr>
            <w:r>
              <w:rPr>
                <w:rFonts w:ascii="Arial" w:cs="Arial" w:eastAsia="Arial" w:hAnsi="Arial"/>
                <w:sz w:val="18"/>
                <w:szCs w:val="18"/>
                <w:color w:val="auto"/>
              </w:rPr>
              <w:t>February 25, 2015</w:t>
            </w:r>
          </w:p>
        </w:tc>
        <w:tc>
          <w:tcPr>
            <w:tcW w:w="3560" w:type="dxa"/>
            <w:vAlign w:val="bottom"/>
          </w:tcPr>
          <w:p>
            <w:pPr>
              <w:ind w:left="700"/>
              <w:spacing w:after="0"/>
              <w:rPr>
                <w:sz w:val="20"/>
                <w:szCs w:val="20"/>
                <w:color w:val="auto"/>
              </w:rPr>
            </w:pPr>
            <w:r>
              <w:rPr>
                <w:rFonts w:ascii="Arial" w:cs="Arial" w:eastAsia="Arial" w:hAnsi="Arial"/>
                <w:sz w:val="18"/>
                <w:szCs w:val="18"/>
                <w:color w:val="auto"/>
              </w:rPr>
              <w:t>February 27, 2015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January 13, 2015</w:t>
            </w:r>
            <w:r>
              <w:rPr>
                <w:rFonts w:ascii="Arial" w:cs="Arial" w:eastAsia="Arial" w:hAnsi="Arial"/>
                <w:sz w:val="25"/>
                <w:szCs w:val="25"/>
                <w:color w:val="auto"/>
                <w:vertAlign w:val="superscript"/>
              </w:rPr>
              <w:t>(1)</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January 26, 2015</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January 30, 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29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December 9, 2014</w:t>
            </w:r>
          </w:p>
        </w:tc>
        <w:tc>
          <w:tcPr>
            <w:tcW w:w="2920" w:type="dxa"/>
            <w:vAlign w:val="bottom"/>
          </w:tcPr>
          <w:p>
            <w:pPr>
              <w:ind w:left="760"/>
              <w:spacing w:after="0"/>
              <w:rPr>
                <w:sz w:val="20"/>
                <w:szCs w:val="20"/>
                <w:color w:val="auto"/>
              </w:rPr>
            </w:pPr>
            <w:r>
              <w:rPr>
                <w:rFonts w:ascii="Arial" w:cs="Arial" w:eastAsia="Arial" w:hAnsi="Arial"/>
                <w:sz w:val="18"/>
                <w:szCs w:val="18"/>
                <w:color w:val="auto"/>
              </w:rPr>
              <w:t>December 26, 2014</w:t>
            </w:r>
          </w:p>
        </w:tc>
        <w:tc>
          <w:tcPr>
            <w:tcW w:w="3560" w:type="dxa"/>
            <w:vAlign w:val="bottom"/>
          </w:tcPr>
          <w:p>
            <w:pPr>
              <w:ind w:left="700"/>
              <w:spacing w:after="0"/>
              <w:rPr>
                <w:sz w:val="20"/>
                <w:szCs w:val="20"/>
                <w:color w:val="auto"/>
              </w:rPr>
            </w:pPr>
            <w:r>
              <w:rPr>
                <w:rFonts w:ascii="Arial" w:cs="Arial" w:eastAsia="Arial" w:hAnsi="Arial"/>
                <w:sz w:val="18"/>
                <w:szCs w:val="18"/>
                <w:color w:val="auto"/>
              </w:rPr>
              <w:t>December 30,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November 12,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November 25,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November 28,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October 9, 2014</w:t>
            </w:r>
          </w:p>
        </w:tc>
        <w:tc>
          <w:tcPr>
            <w:tcW w:w="2920" w:type="dxa"/>
            <w:vAlign w:val="bottom"/>
          </w:tcPr>
          <w:p>
            <w:pPr>
              <w:ind w:left="760"/>
              <w:spacing w:after="0"/>
              <w:rPr>
                <w:sz w:val="20"/>
                <w:szCs w:val="20"/>
                <w:color w:val="auto"/>
              </w:rPr>
            </w:pPr>
            <w:r>
              <w:rPr>
                <w:rFonts w:ascii="Arial" w:cs="Arial" w:eastAsia="Arial" w:hAnsi="Arial"/>
                <w:sz w:val="18"/>
                <w:szCs w:val="18"/>
                <w:color w:val="auto"/>
              </w:rPr>
              <w:t>October 28, 2014</w:t>
            </w:r>
          </w:p>
        </w:tc>
        <w:tc>
          <w:tcPr>
            <w:tcW w:w="3560" w:type="dxa"/>
            <w:vAlign w:val="bottom"/>
          </w:tcPr>
          <w:p>
            <w:pPr>
              <w:ind w:left="700"/>
              <w:spacing w:after="0"/>
              <w:rPr>
                <w:sz w:val="20"/>
                <w:szCs w:val="20"/>
                <w:color w:val="auto"/>
              </w:rPr>
            </w:pPr>
            <w:r>
              <w:rPr>
                <w:rFonts w:ascii="Arial" w:cs="Arial" w:eastAsia="Arial" w:hAnsi="Arial"/>
                <w:sz w:val="18"/>
                <w:szCs w:val="18"/>
                <w:color w:val="auto"/>
              </w:rPr>
              <w:t>October 31, 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September 9,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September 25,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September 30,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August 12, 2014</w:t>
            </w:r>
          </w:p>
        </w:tc>
        <w:tc>
          <w:tcPr>
            <w:tcW w:w="2920" w:type="dxa"/>
            <w:vAlign w:val="bottom"/>
          </w:tcPr>
          <w:p>
            <w:pPr>
              <w:ind w:left="760"/>
              <w:spacing w:after="0"/>
              <w:rPr>
                <w:sz w:val="20"/>
                <w:szCs w:val="20"/>
                <w:color w:val="auto"/>
              </w:rPr>
            </w:pPr>
            <w:r>
              <w:rPr>
                <w:rFonts w:ascii="Arial" w:cs="Arial" w:eastAsia="Arial" w:hAnsi="Arial"/>
                <w:sz w:val="18"/>
                <w:szCs w:val="18"/>
                <w:color w:val="auto"/>
              </w:rPr>
              <w:t>August 26, 2014</w:t>
            </w:r>
          </w:p>
        </w:tc>
        <w:tc>
          <w:tcPr>
            <w:tcW w:w="3560" w:type="dxa"/>
            <w:vAlign w:val="bottom"/>
          </w:tcPr>
          <w:p>
            <w:pPr>
              <w:ind w:left="700"/>
              <w:spacing w:after="0"/>
              <w:rPr>
                <w:sz w:val="20"/>
                <w:szCs w:val="20"/>
                <w:color w:val="auto"/>
              </w:rPr>
            </w:pPr>
            <w:r>
              <w:rPr>
                <w:rFonts w:ascii="Arial" w:cs="Arial" w:eastAsia="Arial" w:hAnsi="Arial"/>
                <w:sz w:val="18"/>
                <w:szCs w:val="18"/>
                <w:color w:val="auto"/>
              </w:rPr>
              <w:t>August 29, 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July 10,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July 28,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July 31,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June 11, 2014</w:t>
            </w:r>
          </w:p>
        </w:tc>
        <w:tc>
          <w:tcPr>
            <w:tcW w:w="2920" w:type="dxa"/>
            <w:vAlign w:val="bottom"/>
          </w:tcPr>
          <w:p>
            <w:pPr>
              <w:ind w:left="760"/>
              <w:spacing w:after="0"/>
              <w:rPr>
                <w:sz w:val="20"/>
                <w:szCs w:val="20"/>
                <w:color w:val="auto"/>
              </w:rPr>
            </w:pPr>
            <w:r>
              <w:rPr>
                <w:rFonts w:ascii="Arial" w:cs="Arial" w:eastAsia="Arial" w:hAnsi="Arial"/>
                <w:sz w:val="18"/>
                <w:szCs w:val="18"/>
                <w:color w:val="auto"/>
              </w:rPr>
              <w:t>June 25, 2014</w:t>
            </w:r>
          </w:p>
        </w:tc>
        <w:tc>
          <w:tcPr>
            <w:tcW w:w="3560" w:type="dxa"/>
            <w:vAlign w:val="bottom"/>
          </w:tcPr>
          <w:p>
            <w:pPr>
              <w:ind w:left="700"/>
              <w:spacing w:after="0"/>
              <w:rPr>
                <w:sz w:val="20"/>
                <w:szCs w:val="20"/>
                <w:color w:val="auto"/>
              </w:rPr>
            </w:pPr>
            <w:r>
              <w:rPr>
                <w:rFonts w:ascii="Arial" w:cs="Arial" w:eastAsia="Arial" w:hAnsi="Arial"/>
                <w:sz w:val="18"/>
                <w:szCs w:val="18"/>
                <w:color w:val="auto"/>
              </w:rPr>
              <w:t>June 30, 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8,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27,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30,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April 8, 2014</w:t>
            </w:r>
          </w:p>
        </w:tc>
        <w:tc>
          <w:tcPr>
            <w:tcW w:w="2920" w:type="dxa"/>
            <w:vAlign w:val="bottom"/>
          </w:tcPr>
          <w:p>
            <w:pPr>
              <w:ind w:left="760"/>
              <w:spacing w:after="0"/>
              <w:rPr>
                <w:sz w:val="20"/>
                <w:szCs w:val="20"/>
                <w:color w:val="auto"/>
              </w:rPr>
            </w:pPr>
            <w:r>
              <w:rPr>
                <w:rFonts w:ascii="Arial" w:cs="Arial" w:eastAsia="Arial" w:hAnsi="Arial"/>
                <w:sz w:val="18"/>
                <w:szCs w:val="18"/>
                <w:color w:val="auto"/>
              </w:rPr>
              <w:t>April 25, 2014</w:t>
            </w:r>
          </w:p>
        </w:tc>
        <w:tc>
          <w:tcPr>
            <w:tcW w:w="3560" w:type="dxa"/>
            <w:vAlign w:val="bottom"/>
          </w:tcPr>
          <w:p>
            <w:pPr>
              <w:ind w:left="700"/>
              <w:spacing w:after="0"/>
              <w:rPr>
                <w:sz w:val="20"/>
                <w:szCs w:val="20"/>
                <w:color w:val="auto"/>
              </w:rPr>
            </w:pPr>
            <w:r>
              <w:rPr>
                <w:rFonts w:ascii="Arial" w:cs="Arial" w:eastAsia="Arial" w:hAnsi="Arial"/>
                <w:sz w:val="18"/>
                <w:szCs w:val="18"/>
                <w:color w:val="auto"/>
              </w:rPr>
              <w:t>April 30, 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March 11,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March 26,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March 31,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February 11, 2014</w:t>
            </w:r>
          </w:p>
        </w:tc>
        <w:tc>
          <w:tcPr>
            <w:tcW w:w="2920" w:type="dxa"/>
            <w:vAlign w:val="bottom"/>
          </w:tcPr>
          <w:p>
            <w:pPr>
              <w:ind w:left="760"/>
              <w:spacing w:after="0"/>
              <w:rPr>
                <w:sz w:val="20"/>
                <w:szCs w:val="20"/>
                <w:color w:val="auto"/>
              </w:rPr>
            </w:pPr>
            <w:r>
              <w:rPr>
                <w:rFonts w:ascii="Arial" w:cs="Arial" w:eastAsia="Arial" w:hAnsi="Arial"/>
                <w:sz w:val="18"/>
                <w:szCs w:val="18"/>
                <w:color w:val="auto"/>
              </w:rPr>
              <w:t>February 25, 2014</w:t>
            </w:r>
          </w:p>
        </w:tc>
        <w:tc>
          <w:tcPr>
            <w:tcW w:w="3560" w:type="dxa"/>
            <w:vAlign w:val="bottom"/>
          </w:tcPr>
          <w:p>
            <w:pPr>
              <w:ind w:left="700"/>
              <w:spacing w:after="0"/>
              <w:rPr>
                <w:sz w:val="20"/>
                <w:szCs w:val="20"/>
                <w:color w:val="auto"/>
              </w:rPr>
            </w:pPr>
            <w:r>
              <w:rPr>
                <w:rFonts w:ascii="Arial" w:cs="Arial" w:eastAsia="Arial" w:hAnsi="Arial"/>
                <w:sz w:val="18"/>
                <w:szCs w:val="18"/>
                <w:color w:val="auto"/>
              </w:rPr>
              <w:t>February 28, 2014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January 9, 2014</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January 27, 2014</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January 31, 2014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22,643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2920" w:type="dxa"/>
            <w:vAlign w:val="bottom"/>
            <w:tcBorders>
              <w:bottom w:val="single" w:sz="8" w:color="auto"/>
            </w:tcBorders>
            <w:shd w:val="clear" w:color="auto" w:fill="CCEEFF"/>
          </w:tcPr>
          <w:p>
            <w:pPr>
              <w:spacing w:after="0"/>
              <w:rPr>
                <w:sz w:val="18"/>
                <w:szCs w:val="18"/>
                <w:color w:val="auto"/>
              </w:rPr>
            </w:pPr>
          </w:p>
        </w:tc>
        <w:tc>
          <w:tcPr>
            <w:tcW w:w="3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December 11, 2013</w:t>
            </w:r>
          </w:p>
        </w:tc>
        <w:tc>
          <w:tcPr>
            <w:tcW w:w="2920" w:type="dxa"/>
            <w:vAlign w:val="bottom"/>
          </w:tcPr>
          <w:p>
            <w:pPr>
              <w:ind w:left="760"/>
              <w:spacing w:after="0"/>
              <w:rPr>
                <w:sz w:val="20"/>
                <w:szCs w:val="20"/>
                <w:color w:val="auto"/>
              </w:rPr>
            </w:pPr>
            <w:r>
              <w:rPr>
                <w:rFonts w:ascii="Arial" w:cs="Arial" w:eastAsia="Arial" w:hAnsi="Arial"/>
                <w:sz w:val="18"/>
                <w:szCs w:val="18"/>
                <w:color w:val="auto"/>
              </w:rPr>
              <w:t>December 26, 2013</w:t>
            </w:r>
          </w:p>
        </w:tc>
        <w:tc>
          <w:tcPr>
            <w:tcW w:w="3560" w:type="dxa"/>
            <w:vAlign w:val="bottom"/>
          </w:tcPr>
          <w:p>
            <w:pPr>
              <w:ind w:left="700"/>
              <w:spacing w:after="0"/>
              <w:rPr>
                <w:sz w:val="20"/>
                <w:szCs w:val="20"/>
                <w:color w:val="auto"/>
              </w:rPr>
            </w:pPr>
            <w:r>
              <w:rPr>
                <w:rFonts w:ascii="Arial" w:cs="Arial" w:eastAsia="Arial" w:hAnsi="Arial"/>
                <w:sz w:val="18"/>
                <w:szCs w:val="18"/>
                <w:color w:val="auto"/>
              </w:rPr>
              <w:t>December 30, 2013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November 12, 2013</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November 25, 2013</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November 27,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October 10, 2013</w:t>
            </w:r>
          </w:p>
        </w:tc>
        <w:tc>
          <w:tcPr>
            <w:tcW w:w="2920" w:type="dxa"/>
            <w:vAlign w:val="bottom"/>
          </w:tcPr>
          <w:p>
            <w:pPr>
              <w:ind w:left="760"/>
              <w:spacing w:after="0"/>
              <w:rPr>
                <w:sz w:val="20"/>
                <w:szCs w:val="20"/>
                <w:color w:val="auto"/>
              </w:rPr>
            </w:pPr>
            <w:r>
              <w:rPr>
                <w:rFonts w:ascii="Arial" w:cs="Arial" w:eastAsia="Arial" w:hAnsi="Arial"/>
                <w:sz w:val="18"/>
                <w:szCs w:val="18"/>
                <w:color w:val="auto"/>
              </w:rPr>
              <w:t>October 25, 2013</w:t>
            </w:r>
          </w:p>
        </w:tc>
        <w:tc>
          <w:tcPr>
            <w:tcW w:w="3560" w:type="dxa"/>
            <w:vAlign w:val="bottom"/>
          </w:tcPr>
          <w:p>
            <w:pPr>
              <w:ind w:left="700"/>
              <w:spacing w:after="0"/>
              <w:rPr>
                <w:sz w:val="20"/>
                <w:szCs w:val="20"/>
                <w:color w:val="auto"/>
              </w:rPr>
            </w:pPr>
            <w:r>
              <w:rPr>
                <w:rFonts w:ascii="Arial" w:cs="Arial" w:eastAsia="Arial" w:hAnsi="Arial"/>
                <w:sz w:val="18"/>
                <w:szCs w:val="18"/>
                <w:color w:val="auto"/>
              </w:rPr>
              <w:t>October 31,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September 10, 2013</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September 25, 2013</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September 30,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August 12, 2013</w:t>
            </w:r>
          </w:p>
        </w:tc>
        <w:tc>
          <w:tcPr>
            <w:tcW w:w="2920" w:type="dxa"/>
            <w:vAlign w:val="bottom"/>
          </w:tcPr>
          <w:p>
            <w:pPr>
              <w:ind w:left="760"/>
              <w:spacing w:after="0"/>
              <w:rPr>
                <w:sz w:val="20"/>
                <w:szCs w:val="20"/>
                <w:color w:val="auto"/>
              </w:rPr>
            </w:pPr>
            <w:r>
              <w:rPr>
                <w:rFonts w:ascii="Arial" w:cs="Arial" w:eastAsia="Arial" w:hAnsi="Arial"/>
                <w:sz w:val="18"/>
                <w:szCs w:val="18"/>
                <w:color w:val="auto"/>
              </w:rPr>
              <w:t>August 26, 2013</w:t>
            </w:r>
          </w:p>
        </w:tc>
        <w:tc>
          <w:tcPr>
            <w:tcW w:w="3560" w:type="dxa"/>
            <w:vAlign w:val="bottom"/>
          </w:tcPr>
          <w:p>
            <w:pPr>
              <w:ind w:left="700"/>
              <w:spacing w:after="0"/>
              <w:rPr>
                <w:sz w:val="20"/>
                <w:szCs w:val="20"/>
                <w:color w:val="auto"/>
              </w:rPr>
            </w:pPr>
            <w:r>
              <w:rPr>
                <w:rFonts w:ascii="Arial" w:cs="Arial" w:eastAsia="Arial" w:hAnsi="Arial"/>
                <w:sz w:val="18"/>
                <w:szCs w:val="18"/>
                <w:color w:val="auto"/>
              </w:rPr>
              <w:t>August 30,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July 9, 2013</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July 25, 2013</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July 31,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June 10, 2013</w:t>
            </w:r>
          </w:p>
        </w:tc>
        <w:tc>
          <w:tcPr>
            <w:tcW w:w="2920" w:type="dxa"/>
            <w:vAlign w:val="bottom"/>
          </w:tcPr>
          <w:p>
            <w:pPr>
              <w:ind w:left="760"/>
              <w:spacing w:after="0"/>
              <w:rPr>
                <w:sz w:val="20"/>
                <w:szCs w:val="20"/>
                <w:color w:val="auto"/>
              </w:rPr>
            </w:pPr>
            <w:r>
              <w:rPr>
                <w:rFonts w:ascii="Arial" w:cs="Arial" w:eastAsia="Arial" w:hAnsi="Arial"/>
                <w:sz w:val="18"/>
                <w:szCs w:val="18"/>
                <w:color w:val="auto"/>
              </w:rPr>
              <w:t>June 25, 2013</w:t>
            </w:r>
          </w:p>
        </w:tc>
        <w:tc>
          <w:tcPr>
            <w:tcW w:w="3560" w:type="dxa"/>
            <w:vAlign w:val="bottom"/>
          </w:tcPr>
          <w:p>
            <w:pPr>
              <w:ind w:left="700"/>
              <w:spacing w:after="0"/>
              <w:rPr>
                <w:sz w:val="20"/>
                <w:szCs w:val="20"/>
                <w:color w:val="auto"/>
              </w:rPr>
            </w:pPr>
            <w:r>
              <w:rPr>
                <w:rFonts w:ascii="Arial" w:cs="Arial" w:eastAsia="Arial" w:hAnsi="Arial"/>
                <w:sz w:val="18"/>
                <w:szCs w:val="18"/>
                <w:color w:val="auto"/>
              </w:rPr>
              <w:t>June 28,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May 9, 2013</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28, 2013</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May 31,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April 10, 2013</w:t>
            </w:r>
          </w:p>
        </w:tc>
        <w:tc>
          <w:tcPr>
            <w:tcW w:w="2920" w:type="dxa"/>
            <w:vAlign w:val="bottom"/>
          </w:tcPr>
          <w:p>
            <w:pPr>
              <w:ind w:left="760"/>
              <w:spacing w:after="0"/>
              <w:rPr>
                <w:sz w:val="20"/>
                <w:szCs w:val="20"/>
                <w:color w:val="auto"/>
              </w:rPr>
            </w:pPr>
            <w:r>
              <w:rPr>
                <w:rFonts w:ascii="Arial" w:cs="Arial" w:eastAsia="Arial" w:hAnsi="Arial"/>
                <w:sz w:val="18"/>
                <w:szCs w:val="18"/>
                <w:color w:val="auto"/>
              </w:rPr>
              <w:t>April 25, 2013</w:t>
            </w:r>
          </w:p>
        </w:tc>
        <w:tc>
          <w:tcPr>
            <w:tcW w:w="3560" w:type="dxa"/>
            <w:vAlign w:val="bottom"/>
          </w:tcPr>
          <w:p>
            <w:pPr>
              <w:ind w:left="700"/>
              <w:spacing w:after="0"/>
              <w:rPr>
                <w:sz w:val="20"/>
                <w:szCs w:val="20"/>
                <w:color w:val="auto"/>
              </w:rPr>
            </w:pPr>
            <w:r>
              <w:rPr>
                <w:rFonts w:ascii="Arial" w:cs="Arial" w:eastAsia="Arial" w:hAnsi="Arial"/>
                <w:sz w:val="18"/>
                <w:szCs w:val="18"/>
                <w:color w:val="auto"/>
              </w:rPr>
              <w:t>April 30, 2013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March 8, 2013</w:t>
            </w:r>
          </w:p>
        </w:tc>
        <w:tc>
          <w:tcPr>
            <w:tcW w:w="29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March 25, 2013</w:t>
            </w:r>
          </w:p>
        </w:tc>
        <w:tc>
          <w:tcPr>
            <w:tcW w:w="3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March 27, 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9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4,662</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top w:val="single" w:sz="8" w:color="auto"/>
              <w:bottom w:val="single" w:sz="8" w:color="auto"/>
            </w:tcBorders>
          </w:tcPr>
          <w:p>
            <w:pPr>
              <w:spacing w:after="0" w:line="20" w:lineRule="exact"/>
              <w:rPr>
                <w:sz w:val="1"/>
                <w:szCs w:val="1"/>
                <w:color w:val="auto"/>
              </w:rPr>
            </w:pPr>
          </w:p>
        </w:tc>
        <w:tc>
          <w:tcPr>
            <w:tcW w:w="3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The effect of the dividends declared in January and February 2015 are not reflected in the Company’s financial statements as of December 31,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Value Per Share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Book Value Per Share at December 31, 2014 was $13.06. The Company computes Book Value Per Share by dividing total stockholders' equity by the total number of shares outstanding of the Company's common stock. At December 31, 2014, the Company's stockholders' equity was $218.1 million with 16,699,656 shares of common stock outstanding.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Secondary Offerings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3, 2014, Orchid entered into an equity distribution agreement (the “Equity Distribution Agreement”) with two sales agents pursuant to which the Company may offer and sell, from time to time, up to an aggregate amount of $75,000,000 of shares of the Company’s common stock in transactions that are deemed to be “at the market” offerings and privately negotiated transactions. Through December 31, 2014, the Company issued a total of 5,073,731 shares under the Equity Distribution Agreement for aggregate proceeds of approximately $68.9 million, net of commissions and fees. After December 31, 2014, the Company issued an additional 13,915 shares that were sold prior to December 31, 2014 under the Equity Distribution Agreement for aggregate proceeds of approximately $0.2 million, net of commissions and fees.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Commenting on the fourth quarter, Robert E. Cauley, Chairman and Chief Executive Officer, said, “The trends we have experienced for the first three quarters of 2014 continued into the fourth. The market continued to defy expectations and rates continued to rally. While the flash rally on October 15th didn’t hold, we still ended the year with rates down over 80 basis points on the 10 year U.S. Treasury (“UST”) and the curve substantially flatter. The swap curve moved similarly. In spite of the bull flattener, typically the bane of RMBS investors, 30 year agency RMBS continued to tighten to comparable duration treasuries. The reason for the outperformance was a combination of speeds that continued to ignore lower rates available to borrowers and reduced supply in the market. Also in spite of the rally, volatility, as measured by the SRVX index (the Chicago Board Options Exchange (“CBOE”) interest rate volatility index that measures the fair market value of future volatility implied by the 1 year option to enter into a 10 year pay fixed swap), remained stable and near the low end of the range for the year. Conditions in Europe continued to deteriorate and the European Central Bank (“ECB”) announced their intention to initiate a $1.0 trillion program of quantitative easing on January 22, 2015. As we neared the end of the year, tensions surrounding Greece started to rise as a new regime seemed poised to take control and was focused on defying the austerity measures imposed by the European Union (“EU”) when the Greek external</w:t>
      </w:r>
    </w:p>
    <w:p>
      <w:pPr>
        <w:sectPr>
          <w:pgSz w:w="11900" w:h="16838" w:orient="portrait"/>
          <w:cols w:equalWidth="0" w:num="1">
            <w:col w:w="11420"/>
          </w:cols>
          <w:pgMar w:left="240" w:top="999" w:right="239" w:bottom="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6"/>
          <w:szCs w:val="16"/>
          <w:color w:val="auto"/>
        </w:rPr>
        <w:t>debt was restructured just a few years ago. This raised the prospects for a Greek exit from the EU, or “Grexit”, and, coupled with the EU quantitative easing program, caused sovereign rates across Europe to reach levels never seen outside of Japan. In some cases rates were negative, as overnight funding rates pushed well through the previously unthinkable ‘zero bound’ repeatedly. These developments caused UST rates to accelerate their rally into January, with the 10 year UST rate reaching a low of 1.64% on January 30th. Economic data in the US was generally mixed with the exception of the jobs data which continued to be robust. The non-farm payroll (“NFP”) figures for November, released in early December, were strong and perhaps more importantly, we saw the first signs of wage inflation. Specifically, average hourly earnings increased 0.4% for November 2014, the first reading of this magnitude since December of 2013. The December wage data, released in early January, was negative and the November data was revised lower. However, the January data released earlier this month was strong again, up 0.5%, and the job growth figures were revised substantially higher. The average monthly NFP gain for the past three months is approximately 336,000, and the average gain for calendar 2014 was approximately 260,000, well above the approximately 200,000 average gains we saw for the last three years. These developments have caused the markets to struggle over what this all means for the Federal Reserve (“Fed”) and their intentions with respect to the timing of an increase in interest rates and the removal of their accommodation that has been in place since the financial crisis.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“Orchid enjoyed another very successful quarter. We continued to grow our equity base throughout the period, utilizing our At-The-Market (“ATM”) program. During the fourth quarter the Company sold an additional 3.7 million shares through its second ATM program, which was put in place in early September. This brings the total number of shares sold under ATM programs during 2014 to approximately 5.1 million shares. We raised approximately $49.8 million in proceeds, net of fees paid to the agent, during the fourth quarter. The weighted average sale price of these shares was $13.87. The Company’s book value per share was $13.05 at June 30, 2014, $13.27 at September 30, 2014 and $13.06 at December 31, 2014. At December 31, 2014 our total stockholders’ equity was $218.1 million, up from $44.8 million at December 31, 2013.</w:t>
      </w:r>
    </w:p>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“With the deployment of the new capital, we continued to grow our RMBS portfolio. The RMBS portfolio grew by approximately 32% during the quarter and has grown by almost 341% year to date. We continue to focus our exposure towards high coupon, fixed rate RMBS, and 30 year securities in particular. We have increased the weighted average coupon of the pass-through portfolio throughout the year, from 3.70% at December 31, 2013, 4.14% at June 30, 2014, 4.26% at September 30, 2014 and 4.28% at December 31, 2014. The capital allocation was shifted during the quarter towards the pass-through strategy. The allocation of capital to pass-throughs increased from 61.0% pass-throughs and 39.0% structured securities at September 30, 2014 to 70.8% pass-throughs and 29.2% structured securities at December 31, 2014. To compensate for the added duration of the 30 year securities, we continue to add to our funding hedge positions by increasing our short Eurodollar futures positions and adding to our swaption positions. The notional balance of our hedges in place at December 31, 2014 represents approximately 79% of our repurchase agreement balance – up from 70% at September 30, 2014, based on the outstanding repurchase agreements balance once all unsettled security sales and purchases were settled.</w:t>
      </w:r>
    </w:p>
    <w:p>
      <w:pPr>
        <w:spacing w:after="0" w:line="200" w:lineRule="exact"/>
        <w:rPr>
          <w:sz w:val="20"/>
          <w:szCs w:val="20"/>
          <w:color w:val="auto"/>
        </w:rPr>
      </w:pP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I mentioned above, the portfolio is positioned for a continuation of modest prepayment speeds. While refinancing activity may accelerate as a result of the rally in January, and we expect to see an increase in speeds when the February figures are released in early March, the sell-off month-to-date has reversed most of the January rally and mortgage rates are close to the year-end levels. We do not expect a significant wave of mortgage refinancings. Only mortgages originated since the summer of 2013 are exposed to low rates for the first time and, because of lenders unwillingness to aggressively pursue refinancing activity, the primary/secondary spread has increased. A primary reason for mortgage lenders unwillingness to aggressively refinance mortgages is due to their reduced capacity and new regulations imposed by the Dodd-Frank Act that have impaired their ability to quickly ramp up their staff/capacity levels. We no longer see the greatest risks to the market as two-fold. Previously we feared there was a small, but non-zero probability we might see an outbreak of inflation</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resulting in a more aggressive Fed and elevated volatility in the rates markets. With the drop in oil prices, strong dollar and very low inflation in Europe, this outcome seems even more unlikely – although the downside risks associated with this outcome are so severe that we will continue to protect ourselves against this scenario. We believe developments around the globe and the strength in the dollar will limit the pace and extent of Fed tightening once it begins, with an increase in interest rates likely to occur by the end of the third quarter of this year – if not at the June meeting. Another possible, perhaps probable, risk we see would be a continuation of the rally we experienced earlier this quarter. We feel we are well positioned for the first scenario. We continue to guard against a further rally by maintaining a material allocation to call protected securities. During the latter part of the third quarter and throughout the fourth quarter of 2014, we began to brace for a short-term acceleration in refinancing activity by selling lower payup specified pools and replacing them with new issue pools and credit impaired pools. As prepayment concerns amongst investors became more elevated specified pool payups for the highest quality call protection securities – loan balance – increased dramatically. In response the Company shifted much of their remaining holdings in loan balance specified pools to more fairly priced securities that still offer call protection but with better carry per unit of duration – like the new issue and credit impaired pools. In the event of a meaningful increase in speeds, we believe these securities will provide adequate protection and the premiums we paid likely have room to increase to offset the increased premium amortization, as we witnessed in January.</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“Going forward, we anticipate the Federal Reserve will begin the process of policy normalization which will entail, among other measures, increases to the Fed Funds target range. Such increases in the Fed Funds target range are likely to result to increases in LIBOR rates, which are tied to the Company’s funding costs. The Company utilizes Eurodollar futures and swaptions to hedge its funding costs, although it does not employ hedge accounting for GAAP purposes. For GAAP, our funding costs will rise as short-term rates rise as there will be no hedge offset. However, to the extent the corresponding hedges increase in value as LIBOR increases then we will experience increased income via a positive fair value adjustment associated with the funding hedges.”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Conference Call Details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An earnings conference call and live audio webcast will be hosted Tuesday, February 24, 2015, at 10:00 AM ET. The conference call may be accessed by dialing toll free (877) 341-5668. International callers dial (224) 357-2205. The conference passcode is 87375616. A live audio webcast of the conference call can be accessed via the investor relations section of the Company’s website at </w:t>
      </w:r>
      <w:r>
        <w:rPr>
          <w:rFonts w:ascii="Arial" w:cs="Arial" w:eastAsia="Arial" w:hAnsi="Arial"/>
          <w:sz w:val="18"/>
          <w:szCs w:val="18"/>
          <w:u w:val="single" w:color="auto"/>
          <w:color w:val="auto"/>
        </w:rPr>
        <w:t>www.orchidislandcapital.com</w:t>
      </w:r>
      <w:r>
        <w:rPr>
          <w:rFonts w:ascii="Arial" w:cs="Arial" w:eastAsia="Arial" w:hAnsi="Arial"/>
          <w:sz w:val="18"/>
          <w:szCs w:val="18"/>
          <w:color w:val="auto"/>
        </w:rPr>
        <w:t>, and an audio archive of the webcast will be available until March 24,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554355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About Orchid Island Capital, Inc.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Orchid Island Capital, Inc. is a specialty finance company that invests on a leveraged basis in Agency RMBS. Our investment strategy focuses on, and our portfolio consists of, two categories of Agency RMBS: (i) traditional pass-through Agency RMBS and (ii) structured Agency RMBS, such as CMOs, IOs, IIOs and POs, among other types of structured Agency RMBS. Orchid is managed by Bimini Advisors, LLC, a registered investment adviser with the Securities and Exchange Commission.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Statements herein relating to matters that are not historical facts are forward-looking statements as defined in the Private Securities Litigation Reform Act of 1995. The reader is cautioned that such forward-looking statements are based on information available at the time and on management's good faith belief with respect to future events, and are subject to risks and uncertainties that could cause actual performance or results to differ materially from those expressed in such forward-looking statements. Important factors that could cause such differences are described in Orchid Island Capital, Inc.'s filings with the Securities and Exchange Commission, including its most recent Annual Report on Form 10-K and Quarterly Reports on Form 10-Q. Orchid Island Capital, Inc. assumes no obligation to update forward-looking statements to reflect subsequent results, changes in assumptions or changes in other factors affecting forward-looking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Orchid Island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Cauley, 772-231-1400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www.orchidislandcapital.com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Summarized Financial Statements</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is a summarized presentation of the unaudited balance sheets as of December 31, 2014 and 2013, and the unaudited quarterly results of operations for the calendar quarters and years ended December 31, 2014 and December 31, 2013. Amounts presented are subject to change.</w:t>
      </w:r>
    </w:p>
    <w:p>
      <w:pPr>
        <w:spacing w:after="0" w:line="17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ORCHID ISLAND CAPITAL, INC.</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in thousands, except per share data)</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 - Amounts Subject To Change)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mortgage-backed securities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1,549,171</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351,223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100,927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6,211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 at fair value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1,657,808</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Repurchase agreements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1,436,651</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628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Due to affiliates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330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2,121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Liabilities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1,439,730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218,078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1,657,808</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16,699,656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Book value per share</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13.06</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927"/>
        </w:trPr>
        <w:tc>
          <w:tcPr>
            <w:tcW w:w="20" w:type="dxa"/>
            <w:vAlign w:val="bottom"/>
          </w:tcPr>
          <w:p>
            <w:pPr>
              <w:spacing w:after="0"/>
              <w:rPr>
                <w:sz w:val="24"/>
                <w:szCs w:val="24"/>
                <w:color w:val="auto"/>
              </w:rPr>
            </w:pPr>
          </w:p>
        </w:tc>
        <w:tc>
          <w:tcPr>
            <w:tcW w:w="3960" w:type="dxa"/>
            <w:vAlign w:val="bottom"/>
            <w:tcBorders>
              <w:top w:val="single" w:sz="8" w:color="auto"/>
            </w:tcBorders>
          </w:tcPr>
          <w:p>
            <w:pPr>
              <w:spacing w:after="0"/>
              <w:rPr>
                <w:sz w:val="24"/>
                <w:szCs w:val="24"/>
                <w:color w:val="auto"/>
              </w:rPr>
            </w:pPr>
          </w:p>
        </w:tc>
        <w:tc>
          <w:tcPr>
            <w:tcW w:w="340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rPr>
              <w:t>ORCHID ISLAND CAPITAL, INC.</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4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(Unaudited - Amounts Subject to Change)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3"/>
              </w:rPr>
              <w:t>Three Months</w:t>
            </w:r>
          </w:p>
        </w:tc>
        <w:tc>
          <w:tcPr>
            <w:tcW w:w="1300" w:type="dxa"/>
            <w:vAlign w:val="bottom"/>
            <w:gridSpan w:val="4"/>
          </w:tcPr>
          <w:p>
            <w:pPr>
              <w:jc w:val="right"/>
              <w:spacing w:after="0" w:line="198" w:lineRule="exact"/>
              <w:rPr>
                <w:sz w:val="20"/>
                <w:szCs w:val="20"/>
                <w:color w:val="auto"/>
              </w:rPr>
            </w:pPr>
            <w:r>
              <w:rPr>
                <w:rFonts w:ascii="Arial" w:cs="Arial" w:eastAsia="Arial" w:hAnsi="Arial"/>
                <w:sz w:val="18"/>
                <w:szCs w:val="18"/>
                <w:b w:val="1"/>
                <w:bCs w:val="1"/>
                <w:color w:val="auto"/>
                <w:w w:val="85"/>
              </w:rPr>
              <w:t>Ended December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0"/>
              </w:rPr>
              <w:t>Years Ended December 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9,199</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12,146</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(1,126)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11,020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Gains (losses)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(7,103)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(6,054)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portfolio income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4,966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Expenses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1,445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9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3,521</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Basic and diluted net income (loss) per share</w:t>
            </w:r>
          </w:p>
        </w:tc>
        <w:tc>
          <w:tcPr>
            <w:tcW w:w="19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32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0"/>
              <w:spacing w:after="0"/>
              <w:rPr>
                <w:sz w:val="20"/>
                <w:szCs w:val="20"/>
                <w:color w:val="auto"/>
              </w:rPr>
            </w:pPr>
            <w:r>
              <w:rPr>
                <w:rFonts w:ascii="Arial" w:cs="Arial" w:eastAsia="Arial" w:hAnsi="Arial"/>
                <w:sz w:val="18"/>
                <w:szCs w:val="18"/>
                <w:color w:val="auto"/>
              </w:rPr>
              <w:t>0.24</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9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1.395</w:t>
            </w:r>
          </w:p>
        </w:tc>
        <w:tc>
          <w:tcPr>
            <w:tcW w:w="3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0.540</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0.450</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960" w:type="dxa"/>
            <w:vAlign w:val="bottom"/>
            <w:tcBorders>
              <w:top w:val="single" w:sz="8" w:color="auto"/>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gridSpan w:val="2"/>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7"/>
          </w:tcPr>
          <w:p>
            <w:pPr>
              <w:jc w:val="right"/>
              <w:ind w:right="620"/>
              <w:spacing w:after="0" w:line="198" w:lineRule="exact"/>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Key Balance Sheet Metrics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 RMBS</w:t>
            </w:r>
            <w:r>
              <w:rPr>
                <w:rFonts w:ascii="Arial" w:cs="Arial" w:eastAsia="Arial" w:hAnsi="Arial"/>
                <w:sz w:val="25"/>
                <w:szCs w:val="25"/>
                <w:color w:val="auto"/>
                <w:vertAlign w:val="superscript"/>
              </w:rPr>
              <w:t>(1)</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1,362,352</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341,505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line="216" w:lineRule="exact"/>
              <w:rPr>
                <w:sz w:val="20"/>
                <w:szCs w:val="20"/>
                <w:color w:val="auto"/>
              </w:rPr>
            </w:pPr>
            <w:r>
              <w:rPr>
                <w:rFonts w:ascii="Arial" w:cs="Arial" w:eastAsia="Arial" w:hAnsi="Arial"/>
                <w:sz w:val="18"/>
                <w:szCs w:val="18"/>
                <w:color w:val="auto"/>
              </w:rPr>
              <w:t>Average repurchase agreements</w:t>
            </w:r>
            <w:r>
              <w:rPr>
                <w:rFonts w:ascii="Arial" w:cs="Arial" w:eastAsia="Arial" w:hAnsi="Arial"/>
                <w:sz w:val="25"/>
                <w:szCs w:val="25"/>
                <w:color w:val="auto"/>
                <w:vertAlign w:val="superscript"/>
              </w:rPr>
              <w:t>(1)</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1,346,314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310,107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 stockholders' equity</w:t>
            </w:r>
            <w:r>
              <w:rPr>
                <w:rFonts w:ascii="Arial" w:cs="Arial" w:eastAsia="Arial" w:hAnsi="Arial"/>
                <w:sz w:val="25"/>
                <w:szCs w:val="25"/>
                <w:color w:val="auto"/>
                <w:vertAlign w:val="superscript"/>
              </w:rPr>
              <w:t>(1)</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195,432</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line="216" w:lineRule="exact"/>
              <w:rPr>
                <w:sz w:val="20"/>
                <w:szCs w:val="20"/>
                <w:color w:val="auto"/>
              </w:rPr>
            </w:pPr>
            <w:r>
              <w:rPr>
                <w:rFonts w:ascii="Arial" w:cs="Arial" w:eastAsia="Arial" w:hAnsi="Arial"/>
                <w:sz w:val="18"/>
                <w:szCs w:val="18"/>
                <w:color w:val="auto"/>
              </w:rPr>
              <w:t>Leverage ratio</w:t>
            </w:r>
            <w:r>
              <w:rPr>
                <w:rFonts w:ascii="Arial" w:cs="Arial" w:eastAsia="Arial" w:hAnsi="Arial"/>
                <w:sz w:val="25"/>
                <w:szCs w:val="25"/>
                <w:color w:val="auto"/>
                <w:vertAlign w:val="superscript"/>
              </w:rPr>
              <w:t>(2)</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Key Performance Metrics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 yield on RMBS</w:t>
            </w:r>
            <w:r>
              <w:rPr>
                <w:rFonts w:ascii="Arial" w:cs="Arial" w:eastAsia="Arial" w:hAnsi="Arial"/>
                <w:sz w:val="25"/>
                <w:szCs w:val="25"/>
                <w:color w:val="auto"/>
                <w:vertAlign w:val="superscript"/>
              </w:rPr>
              <w:t>(3)</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line="216" w:lineRule="exact"/>
              <w:rPr>
                <w:sz w:val="20"/>
                <w:szCs w:val="20"/>
                <w:color w:val="auto"/>
              </w:rPr>
            </w:pPr>
            <w:r>
              <w:rPr>
                <w:rFonts w:ascii="Arial" w:cs="Arial" w:eastAsia="Arial" w:hAnsi="Arial"/>
                <w:sz w:val="18"/>
                <w:szCs w:val="18"/>
                <w:color w:val="auto"/>
              </w:rPr>
              <w:t>Average cost of funds</w:t>
            </w:r>
            <w:r>
              <w:rPr>
                <w:rFonts w:ascii="Arial" w:cs="Arial" w:eastAsia="Arial" w:hAnsi="Arial"/>
                <w:sz w:val="25"/>
                <w:szCs w:val="25"/>
                <w:color w:val="auto"/>
                <w:vertAlign w:val="superscript"/>
              </w:rPr>
              <w:t>(3)</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0.33%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 economic cost of funds</w:t>
            </w:r>
            <w:r>
              <w:rPr>
                <w:rFonts w:ascii="Arial" w:cs="Arial" w:eastAsia="Arial" w:hAnsi="Arial"/>
                <w:sz w:val="25"/>
                <w:szCs w:val="25"/>
                <w:color w:val="auto"/>
                <w:vertAlign w:val="superscript"/>
              </w:rPr>
              <w:t>(4)</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line="216" w:lineRule="exact"/>
              <w:rPr>
                <w:sz w:val="20"/>
                <w:szCs w:val="20"/>
                <w:color w:val="auto"/>
              </w:rPr>
            </w:pPr>
            <w:r>
              <w:rPr>
                <w:rFonts w:ascii="Arial" w:cs="Arial" w:eastAsia="Arial" w:hAnsi="Arial"/>
                <w:sz w:val="18"/>
                <w:szCs w:val="18"/>
                <w:color w:val="auto"/>
              </w:rPr>
              <w:t>Average interest rate spread</w:t>
            </w:r>
            <w:r>
              <w:rPr>
                <w:rFonts w:ascii="Arial" w:cs="Arial" w:eastAsia="Arial" w:hAnsi="Arial"/>
                <w:sz w:val="25"/>
                <w:szCs w:val="25"/>
                <w:color w:val="auto"/>
                <w:vertAlign w:val="superscript"/>
              </w:rPr>
              <w:t>(5)</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 economic interest rate spread</w:t>
            </w:r>
            <w:r>
              <w:rPr>
                <w:rFonts w:ascii="Arial" w:cs="Arial" w:eastAsia="Arial" w:hAnsi="Arial"/>
                <w:sz w:val="25"/>
                <w:szCs w:val="25"/>
                <w:color w:val="auto"/>
                <w:vertAlign w:val="superscript"/>
              </w:rPr>
              <w:t>(6)</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42" w:right="239" w:bottom="0" w:gutter="0" w:footer="0" w:header="0"/>
        </w:sectPr>
      </w:pPr>
    </w:p>
    <w:bookmarkStart w:id="14" w:name="page15"/>
    <w:bookmarkEnd w:id="14"/>
    <w:p>
      <w:pPr>
        <w:ind w:left="308" w:hanging="308"/>
        <w:spacing w:after="0"/>
        <w:tabs>
          <w:tab w:leader="none" w:pos="308"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RMBS, repurchase agreements and stockholders’ equity balances are calculated using two data points, the beginning and ending balances.</w:t>
      </w:r>
    </w:p>
    <w:p>
      <w:pPr>
        <w:spacing w:after="0" w:line="46" w:lineRule="exact"/>
        <w:rPr>
          <w:rFonts w:ascii="Arial" w:cs="Arial" w:eastAsia="Arial" w:hAnsi="Arial"/>
          <w:sz w:val="16"/>
          <w:szCs w:val="16"/>
          <w:color w:val="auto"/>
        </w:rPr>
      </w:pPr>
    </w:p>
    <w:p>
      <w:pPr>
        <w:ind w:left="308" w:hanging="308"/>
        <w:spacing w:after="0"/>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leverage ratio is calculated by dividing total ending liabilities by ending stockholders’ equity.</w:t>
      </w:r>
    </w:p>
    <w:p>
      <w:pPr>
        <w:spacing w:after="0" w:line="9" w:lineRule="exact"/>
        <w:rPr>
          <w:rFonts w:ascii="Arial" w:cs="Arial" w:eastAsia="Arial" w:hAnsi="Arial"/>
          <w:sz w:val="18"/>
          <w:szCs w:val="18"/>
          <w:color w:val="auto"/>
        </w:rPr>
      </w:pPr>
    </w:p>
    <w:p>
      <w:pPr>
        <w:ind w:left="308" w:hanging="308"/>
        <w:spacing w:after="0" w:line="250"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Portfolio yields and costs of funds are calculated based on the average balances of the underlying investment portfolio/repurchase agreement balances and are annualized for the quarterly periods presented.</w:t>
      </w:r>
    </w:p>
    <w:p>
      <w:pPr>
        <w:ind w:left="308" w:right="20" w:hanging="308"/>
        <w:spacing w:after="0" w:line="250"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cost of our borrowings and the effect of Eurodollar futures contracts and interest rate swaptions attributed to the period related to hedging activities, divided by average repurchase agreements.</w:t>
      </w:r>
    </w:p>
    <w:p>
      <w:pPr>
        <w:ind w:left="308" w:hanging="308"/>
        <w:spacing w:after="0"/>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interest rate spread is calculated by subtracting average cost of funds from average yield on RMBS.</w:t>
      </w:r>
    </w:p>
    <w:p>
      <w:pPr>
        <w:spacing w:after="0" w:line="9" w:lineRule="exact"/>
        <w:rPr>
          <w:rFonts w:ascii="Arial" w:cs="Arial" w:eastAsia="Arial" w:hAnsi="Arial"/>
          <w:sz w:val="18"/>
          <w:szCs w:val="18"/>
          <w:color w:val="auto"/>
        </w:rPr>
      </w:pPr>
    </w:p>
    <w:p>
      <w:pPr>
        <w:ind w:left="308" w:hanging="308"/>
        <w:spacing w:after="0"/>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economic interest rate spread is calculated by subtracting average economic cost of funds from average yield on RMBS.</w:t>
      </w:r>
    </w:p>
    <w:sectPr>
      <w:pgSz w:w="11900" w:h="16838" w:orient="portrait"/>
      <w:cols w:equalWidth="0" w:num="1">
        <w:col w:w="11388"/>
      </w:cols>
      <w:pgMar w:left="272"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endash "/>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2019-12-09T00:53:30Z</dcterms:created>
  <dcterms:modified xsi:type="dcterms:W3CDTF">2019-12-09T00:53:30Z</dcterms:modified>
</cp:coreProperties>
</file>